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19 GebG NRW (Nordrhein-Westfalen) — Stundung, Niederschlagung und Erlass</w:t>
      </w:r>
    </w:p>
    <w:p>
      <w:r>
        <w:rPr>
          <w:color w:val="555555"/>
          <w:sz w:val="18"/>
        </w:rPr>
        <w:t xml:space="preserve">Gebührengesetz NRW</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Für die Stundung, die Niederschlagung und den Erlass von Forderungen auf Zahlung von Gebühren, Auslagen und sonstigen Nebenleistungen gelten die Vorschriften der Landeshaushaltsordnung. In Fällen, in denen ein anderer Rechtsträger als das Land Kostengläubiger ist, gelten die für ihn verbindlichen entsprechenden Vorschriften.</w:t>
      </w:r>
    </w:p>
    <w:p>
      <w:r>
        <w:rPr>
          <w:color w:val="555555"/>
          <w:sz w:val="17"/>
        </w:rPr>
        <w:t xml:space="preserve">Zitiervorschlag: § 19 GebG NRW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https://recht.nulegal.eu/gesetze/GebG%20NRW/19</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