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GebG NRW (Nordrhein-Westfalen) — Fälligkeit</w:t>
      </w:r>
    </w:p>
    <w:p>
      <w:r>
        <w:rPr>
          <w:color w:val="555555"/>
          <w:sz w:val="18"/>
        </w:rPr>
        <w:t xml:space="preserve">Gebührengesetz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Kosten werden mit der Bekanntgabe der Kostenentscheidung an den Kostenschuldner fällig, wenn nicht die Behörde einen späteren Zeitpunkt bestimmt.</w:t>
      </w:r>
    </w:p>
    <w:p>
      <w:r>
        <w:rPr>
          <w:color w:val="555555"/>
          <w:sz w:val="17"/>
        </w:rPr>
        <w:t xml:space="preserve">Zitiervorschlag: § 17 GebG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https://recht.nulegal.eu/gesetze/GebG%20NRW/17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