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GebG NRW (Nordrhein-Westfalen) — Vorschusszahlung und Sicherheitsleistung</w:t>
      </w:r>
    </w:p>
    <w:p>
      <w:r>
        <w:rPr>
          <w:color w:val="555555"/>
          <w:sz w:val="18"/>
        </w:rPr>
        <w:t xml:space="preserve">Gebührengesetz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Eine Amtshandlung, die auf Antrag vorzunehmen ist, kann von der Zahlung eines angemessenen Vorschusses oder von einer angemessenen Sicherheitsleistung bis zur voraussichtlichen Höhe der Kosten abhängig gemacht werden.</w:t>
      </w:r>
    </w:p>
    <w:p>
      <w:r>
        <w:rPr>
          <w:color w:val="555555"/>
          <w:sz w:val="17"/>
        </w:rPr>
        <w:t xml:space="preserve">Zitiervorschlag: § 16 GebG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https://recht.nulegal.eu/gesetze/GebG%20NRW/16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