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GebEnVO (Sachsen)</w:t>
      </w:r>
    </w:p>
    <w:p>
      <w:r>
        <w:rPr>
          <w:color w:val="555555"/>
          <w:sz w:val="18"/>
        </w:rPr>
        <w:t xml:space="preserve">Gebäudeenergieverordnung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Grund des § 94 Satz 1 und 3 sowie des § 101 Absatz 1 und 2 des Gebäudeenergiegesetzes vom 8. August 2020 (BGBl. I S. 1728), das durch Artikel 1 des Gesetzes vom 16. Oktober 2023 (BGBl. 2023 I Nr. 280) geändert worden ist, verordnet die Staatsregierung:</w:t>
      </w:r>
    </w:p>
    <w:p>
      <w:r>
        <w:rPr>
          <w:color w:val="555555"/>
          <w:sz w:val="17"/>
        </w:rPr>
        <w:t xml:space="preserve">Zitiervorschlag: Eingangsformel GebEnVO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https://recht.nulegal.eu/gesetze/GebEnVO/eingangsformel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