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GebEnVO (Sachsen) — Inkrafttreten, Außerkrafttreten</w:t>
      </w:r>
    </w:p>
    <w:p>
      <w:r>
        <w:rPr>
          <w:color w:val="555555"/>
          <w:sz w:val="18"/>
        </w:rPr>
        <w:t xml:space="preserve">Gebäudeenergieverordnung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EnEV-Durchführungsverordnung vom 19. September 2016 (SächsGVBl. S. 346), die zuletzt durch die Verordnung vom 12. April 2021 (SächsGVBl. S. 517) geändert worden ist, außer Kraft.</w:t>
      </w:r>
    </w:p>
    <w:p>
      <w:r>
        <w:t xml:space="preserve">Dresden, den 19. Dezember 2023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Regionalentwicklung</w:t>
      </w:r>
    </w:p>
    <w:p>
      <w:r>
        <w:t xml:space="preserve">Thomas Schmidt</w:t>
      </w:r>
    </w:p>
    <w:p>
      <w:r>
        <w:rPr>
          <w:color w:val="555555"/>
          <w:sz w:val="17"/>
        </w:rPr>
        <w:t xml:space="preserve">Zitiervorschlag: § 5 GebEnVO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https://recht.nulegal.eu/gesetze/GebEnVO/5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