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GebEnVO (Sachsen) — Stichprobenprüfung durch die Landeskontrollstelle</w:t>
      </w:r>
    </w:p>
    <w:p>
      <w:r>
        <w:rPr>
          <w:color w:val="555555"/>
          <w:sz w:val="18"/>
        </w:rPr>
        <w:t xml:space="preserve">Gebäudeenergieverordnung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Mindestens eine der mit der Stichprobenprüfung befassten Personen muss die Voraussetzungen des § 88 des Gebäudeenergiegesetzes zur Ausstellung von Energieausweisen erfüllen.</w:t>
      </w:r>
    </w:p>
    <w:p>
      <w:r>
        <w:t xml:space="preserve">(2) Sobald Stichproben aus den Energieausweisen oder Inspektionsberichten gezogen wurden, unterrichtet die Landeskontrollstelle deren Aussteller hierüber und fordert sie auf, die erforderlichen Unterlagen nach § 99 Absatz 6 Satz 1 des Gebäudeenergiegesetzes innerhalb einer angemessenen Frist zu übersenden.</w:t>
      </w:r>
    </w:p>
    <w:p>
      <w:r>
        <w:rPr>
          <w:color w:val="555555"/>
          <w:sz w:val="17"/>
        </w:rPr>
        <w:t xml:space="preserve">Zitiervorschlag: § 4 GebEnVO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https://recht.nulegal.eu/gesetze/GebEnVO/4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