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GebEnVO (Sachsen) — Stichprobenermittlung</w:t>
      </w:r>
    </w:p>
    <w:p>
      <w:r>
        <w:rPr>
          <w:color w:val="555555"/>
          <w:sz w:val="18"/>
        </w:rPr>
        <w:t xml:space="preserve">Gebäudeenergieverordnung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Regionalentwicklung bestimmt den statistisch signifikanten Prozentanteil nach § 99 Absatz 2 des Gebäudeenergiegesetzes gegenüber der Landeskontrollstelle. Es kann abweichend davon eine absolute Anzahl von Stichproben festlegen.</w:t>
      </w:r>
    </w:p>
    <w:p>
      <w:r>
        <w:rPr>
          <w:color w:val="555555"/>
          <w:sz w:val="17"/>
        </w:rPr>
        <w:t xml:space="preserve">Zitiervorschlag: § 3 GebEnVO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https://recht.nulegal.eu/gesetze/GebEnVO/3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