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GebäudeArbbV 10 — Inkrafttreten, Außerkrafttreten</w:t>
      </w:r>
    </w:p>
    <w:p>
      <w:r>
        <w:rPr>
          <w:color w:val="555555"/>
          <w:sz w:val="18"/>
        </w:rPr>
        <w:t xml:space="preserve">Zehnte Gebäudereinigungsarbeitsbedingungenverordnung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Diese Verordnung tritt am 1. Februar 2025 in Kraft und mit Ablauf des 31. Dezember 2026 außer Kraft.</w:t>
      </w:r>
    </w:p>
    <w:p>
      <w:r>
        <w:rPr>
          <w:color w:val="555555"/>
          <w:sz w:val="17"/>
        </w:rPr>
        <w:t xml:space="preserve">Zitiervorschlag: § 2 GebäudeArbbV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https://recht.nulegal.eu/gesetze/Geb%C3%A4udeArbbV%2010/2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GebäudeArbbV 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