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GeFoZuVO (Sachsen)</w:t>
      </w:r>
    </w:p>
    <w:p>
      <w:r>
        <w:rPr>
          <w:color w:val="555555"/>
          <w:sz w:val="18"/>
        </w:rPr>
        <w:t xml:space="preserve">Generationenfonds-Zuführungsverordnung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13. Dezember 2012</w:t>
      </w:r>
    </w:p>
    <w:p>
      <w:r>
        <w:t xml:space="preserve">Aufgrund von § 5 Abs. 2 Satz 2 des Gesetzes über den Generationenfonds des Freistaates Sachsen (Generationenfondsgesetz – SächsGFG ) vom 13. Dezember 2012 (SächsGVBl. S. 725, 726) wird verordnet:</w:t>
      </w:r>
    </w:p>
    <w:p>
      <w:r>
        <w:rPr>
          <w:color w:val="555555"/>
          <w:sz w:val="17"/>
        </w:rPr>
        <w:t xml:space="preserve">Zitiervorschlag: Eingangsformel GeFoZuVO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https://recht.nulegal.eu/gesetze/GeFoZuVO/eingangsformel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