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GbV 2011 — Pflichten der Unternehmer</w:t>
      </w:r>
    </w:p>
    <w:p>
      <w:r>
        <w:rPr>
          <w:color w:val="555555"/>
          <w:sz w:val="18"/>
        </w:rPr>
        <w:t xml:space="preserve">Gefahrgutbeauftragtenverordnung</w:t>
      </w:r>
    </w:p>
    <w:p>
      <w:r>
        <w:rPr>
          <w:color w:val="555555"/>
          <w:sz w:val="18"/>
        </w:rPr>
        <w:t xml:space="preserve">Stand: 05.07.2023 (konsolidierte Textfassung, kein amtliches Inkrafttretensdatum)</w:t>
      </w:r>
    </w:p>
    <w:p>
      <w:r>
        <w:t xml:space="preserve">(1) Der Unternehmer darf den Gefahrgutbeauftragten wegen der Erfüllung der ihm übertragenen Aufgaben nicht benachteiligen.</w:t>
      </w:r>
    </w:p>
    <w:p>
      <w:r>
        <w:t xml:space="preserve">(2) Der Unternehmer hat dafür zu sorgen, dass der Gefahrgutbeauftragte</w:t>
      </w:r>
    </w:p>
    <w:p>
      <w:pPr>
        <w:ind w:left="420"/>
      </w:pPr>
      <w:r>
        <w:t xml:space="preserve">1. vor seiner Bestellung im Besitz eines gültigen und auf die Tätigkeiten des Unternehmens abgestellten Schulungsnachweises nach § 4 ist,</w:t>
      </w:r>
    </w:p>
    <w:p>
      <w:pPr>
        <w:ind w:left="420"/>
      </w:pPr>
      <w:r>
        <w:t xml:space="preserve">2. alle zur Wahrnehmung seiner Tätigkeit erforderlichen sachdienlichen Auskünfte und Unterlagen erhält, soweit sie die Beförderung gefährlicher Güter betreffen,</w:t>
      </w:r>
    </w:p>
    <w:p>
      <w:pPr>
        <w:ind w:left="420"/>
      </w:pPr>
      <w:r>
        <w:t xml:space="preserve">3. die notwendigen Mittel zur Aufgabenwahrnehmung erhält,</w:t>
      </w:r>
    </w:p>
    <w:p>
      <w:pPr>
        <w:ind w:left="420"/>
      </w:pPr>
      <w:r>
        <w:t xml:space="preserve">4. jederzeit seine Vorschläge und Bedenken unmittelbar der entscheidenden Stelle im Unternehmen vortragen kann,</w:t>
      </w:r>
    </w:p>
    <w:p>
      <w:pPr>
        <w:ind w:left="420"/>
      </w:pPr>
      <w:r>
        <w:t xml:space="preserve">5. zu vorgesehenen Vorschlägen auf Änderung oder Anträgen auf Abweichungen von den Vorschriften über die Beförderung gefährlicher Güter Stellung nehmen kann und</w:t>
      </w:r>
    </w:p>
    <w:p>
      <w:pPr>
        <w:ind w:left="420"/>
      </w:pPr>
      <w:r>
        <w:t xml:space="preserve">6. alle Aufgaben, die ihm nach § 8 übertragen worden sind, ordnungsgemäß erfüllen kann.</w:t>
      </w:r>
    </w:p>
    <w:p>
      <w:r>
        <w:t xml:space="preserve">(3) Der Unternehmer hat die Aufzeichnungen nach § 8 Absatz 2 und den Jahresbericht nach § 8 Absatz 5 fünf Jahre nach deren Vorlage durch den Gefahrgutbeauftragten aufzubewahren und der zuständigen Behörde auf Verlangen in Textform zur Prüfung vorzulegen.</w:t>
      </w:r>
    </w:p>
    <w:p>
      <w:r>
        <w:t xml:space="preserve">(4) Der Unternehmer hat auf Verlangen der zuständigen Behörde den Namen des Gefahrgutbeauftragten bekannt zu geben.</w:t>
      </w:r>
    </w:p>
    <w:p>
      <w:r>
        <w:t xml:space="preserve">(5) Der Unternehmer hat auf Verlangen der zuständigen Behörde die Unfallberichte nach Unterabschnitt 1.8.3.6 ADR/RID/ADN vorzulegen.</w:t>
      </w:r>
    </w:p>
    <w:p>
      <w:r>
        <w:rPr>
          <w:color w:val="555555"/>
          <w:sz w:val="17"/>
        </w:rPr>
        <w:t xml:space="preserve">Zitiervorschlag: § 9 GbV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https://recht.nulegal.eu/gesetze/GbV%202011/9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