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GbV 2011 — Pflichten des Gefahrgutbeauftragten</w:t>
      </w:r>
    </w:p>
    <w:p>
      <w:r>
        <w:rPr>
          <w:color w:val="555555"/>
          <w:sz w:val="18"/>
        </w:rPr>
        <w:t xml:space="preserve">Gefahrgutbeauftragtenverordnung</w:t>
      </w:r>
    </w:p>
    <w:p>
      <w:r>
        <w:rPr>
          <w:color w:val="555555"/>
          <w:sz w:val="18"/>
        </w:rPr>
        <w:t xml:space="preserve">Stand: 05.07.2023 (konsolidierte Textfassung, kein amtliches Inkrafttretensdatum)</w:t>
      </w:r>
    </w:p>
    <w:p>
      <w:r>
        <w:t xml:space="preserve">(1) Der Gefahrgutbeauftragte hat die Aufgaben nach Unterabschnitt 1.8.3.3 ADR/RID/ADN wahrzunehmen.</w:t>
      </w:r>
    </w:p>
    <w:p>
      <w:r>
        <w:t xml:space="preserve">(2) Der Gefahrgutbeauftragte ist verpflichtet, Aufzeichnungen in Textform über seine Überwachungstätigkeit unter Angabe des Zeitpunktes der Überwachung, der Namen der überwachten Personen und der überwachten Geschäftsvorgänge zu führen.</w:t>
      </w:r>
    </w:p>
    <w:p>
      <w:r>
        <w:t xml:space="preserve">(3) (weggefallen)</w:t>
      </w:r>
    </w:p>
    <w:p>
      <w:r>
        <w:t xml:space="preserve">(4) Der Gefahrgutbeauftragte hat dafür zu sorgen, dass ein Unfallbericht nach Unterabschnitt 1.8.3.6 ADR/RID/ADN erstellt wird.</w:t>
      </w:r>
    </w:p>
    <w:p>
      <w:r>
        <w:t xml:space="preserve">(5) Der Gefahrgutbeauftragte hat für den Unternehmer einen Jahresbericht über die Tätigkeiten des Unternehmens in Bezug auf die Gefahrgutbeförderung innerhalb eines halben Jahres nach Ablauf des Geschäftsjahres mit den Angaben nach Satz 2 zu erstellen. Der Jahresbericht muss mindestens enthalten</w:t>
      </w:r>
    </w:p>
    <w:p>
      <w:pPr>
        <w:ind w:left="420"/>
      </w:pPr>
      <w:r>
        <w:t xml:space="preserve">1. Art der gefährlichen Güter unterteilt nach Klassen,</w:t>
      </w:r>
    </w:p>
    <w:p>
      <w:pPr>
        <w:ind w:left="420"/>
      </w:pPr>
      <w:r>
        <w:t xml:space="preserve">2. Gesamtmenge der gefährlichen Güter in einer der folgenden vier Stufen:</w:t>
      </w:r>
    </w:p>
    <w:p>
      <w:pPr>
        <w:ind w:left="780"/>
      </w:pPr>
      <w:r>
        <w:t xml:space="preserve">1. bis 5 Tonnen,</w:t>
      </w:r>
    </w:p>
    <w:p>
      <w:pPr>
        <w:ind w:left="780"/>
      </w:pPr>
      <w:r>
        <w:t xml:space="preserve">2. mehr als 5 Tonnen bis 50 Tonnen,</w:t>
      </w:r>
    </w:p>
    <w:p>
      <w:pPr>
        <w:ind w:left="780"/>
      </w:pPr>
      <w:r>
        <w:t xml:space="preserve">3. mehr als 50 Tonnen bis 1 000 Tonnen,</w:t>
      </w:r>
    </w:p>
    <w:p>
      <w:pPr>
        <w:ind w:left="780"/>
      </w:pPr>
      <w:r>
        <w:t xml:space="preserve">4. mehr als 1 000 Tonnen,</w:t>
      </w:r>
    </w:p>
    <w:p>
      <w:pPr>
        <w:ind w:left="420"/>
      </w:pPr>
      <w:r>
        <w:t xml:space="preserve">3. Zahl und Art der Unfälle mit gefährlichen Gütern über die ein Unfallbericht nach Unterabschnitt 1.8.3.6 ADR/RID/ADN erstellt worden ist,</w:t>
      </w:r>
    </w:p>
    <w:p>
      <w:pPr>
        <w:ind w:left="420"/>
      </w:pPr>
      <w:r>
        <w:t xml:space="preserve">4. sonstige Angaben, die nach Auffassung des Gefahrgutbeauftragten für die Beurteilung der Sicherheitslage wichtig sind, und</w:t>
      </w:r>
    </w:p>
    <w:p>
      <w:pPr>
        <w:ind w:left="420"/>
      </w:pPr>
      <w:r>
        <w:t xml:space="preserve">5. Angaben, ob das Unternehmen an der Beförderung gefährlicher Güter nach Abschnitt 1.10.3 ADR/RID/ADN oder 1.4.3 IMDG-Code beteiligt gewesen ist.</w:t>
      </w:r>
    </w:p>
    <w:p>
      <w:r>
        <w:t xml:space="preserve">Der Jahresbericht muss keine Angaben über die Beförderung gefährlicher Güter im Luftverkehr enthalten. Die anzugebende Gesamtmenge der gefährlichen Güter schließt auch die empfangenen gefährlichen Güter ein.</w:t>
      </w:r>
    </w:p>
    <w:p>
      <w:r>
        <w:t xml:space="preserve">(6) Der Gefahrgutbeauftragte muss den Schulungsnachweis nach § 4 der zuständigen Behörde auf Verlangen vorlegen. Er hat dafür zu sorgen, dass dieser Schulungsnachweis rechtzeitig verlängert wird.</w:t>
      </w:r>
    </w:p>
    <w:p>
      <w:r>
        <w:rPr>
          <w:color w:val="555555"/>
          <w:sz w:val="17"/>
        </w:rPr>
        <w:t xml:space="preserve">Zitiervorschlag: § 8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