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GbV 2011 — Schulungsnachweis</w:t>
      </w:r>
    </w:p>
    <w:p>
      <w:r>
        <w:rPr>
          <w:color w:val="555555"/>
          <w:sz w:val="18"/>
        </w:rPr>
        <w:t xml:space="preserve">Gefahrgutbeauftragtenverordnung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Schulungsnachweis wird mit den Mindestangaben nach Unterabschnitt 1.8.3.18 ADR/RID/ADN erteilt, wenn der Betroffene an einer Schulung nach § 5 teilgenommen und eine Prüfung nach § 6 Absatz 1 mit Erfolg abgelegt hat. Der Schulungsnachweis gilt fünf Jahre und kann jeweils um weitere fünf Jahre verlängert werden, wenn der Betroffene eine Prüfung nach § 6 Absatz 4 mit Erfolg abgelegt hat.</w:t>
      </w:r>
    </w:p>
    <w:p>
      <w:r>
        <w:rPr>
          <w:color w:val="555555"/>
          <w:sz w:val="17"/>
        </w:rPr>
        <w:t xml:space="preserve">Zitiervorschlag: § 4 GbV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https://recht.nulegal.eu/gesetze/GbV%202011/4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