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GbV 2011 — Bestellung von Gefahrgutbeauftragten</w:t>
      </w:r>
    </w:p>
    <w:p>
      <w:r>
        <w:rPr>
          <w:color w:val="555555"/>
          <w:sz w:val="18"/>
        </w:rPr>
        <w:t xml:space="preserve">Gefahrgutbeauftragtenverordnung</w:t>
      </w:r>
    </w:p>
    <w:p>
      <w:r>
        <w:rPr>
          <w:color w:val="555555"/>
          <w:sz w:val="18"/>
        </w:rPr>
        <w:t xml:space="preserve">Stand: 26.06.2025 (konsolidierte Textfassung, kein amtliches Inkrafttretensdatum)</w:t>
      </w:r>
    </w:p>
    <w:p>
      <w:r>
        <w:t xml:space="preserve">(1) Sobald ein Unternehmen an der Beförderung gefährlicher Güter beteiligt ist und ihm Pflichten als Beteiligter in der Gefahrgutverordnung Straße, Eisenbahn und Binnenschifffahrt oder in der Gefahrgutverordnung See zugewiesen sind, muss es mindestens einen Sicherheitsberater für die Beförderung gefährlicher Güter (Gefahrgutbeauftragter) in Textform bestellen. Werden mehrere Gefahrgutbeauftragte bestellt, so sind deren Aufgaben gegeneinander abzugrenzen und in Textform festzulegen. Nimmt der Unternehmer die Funktion des Gefahrgutbeauftragten selbst wahr, ist eine Bestellung nicht erforderlich.</w:t>
      </w:r>
    </w:p>
    <w:p>
      <w:r>
        <w:t xml:space="preserve">(2) Die Funktion des Gefahrgutbeauftragten kann nach dem Unterabschnitt 1.8.3.4 ADR/RID/ADN vom Leiter des Unternehmens, von einer Person mit anderen Aufgaben in dem Unternehmen oder von einer dem Unternehmen nicht angehörenden Person wahrgenommen werden, sofern diese tatsächlich in der Lage ist, die Aufgaben des Gefahrgutbeauftragten zu erfüllen. Der Name des Gefahrgutbeauftragten ist allen Mitarbeitern des Unternehmens in Textform bekannt zu geben; die Bekanntmachung kann auch durch schriftlichen Aushang an einer für alle Mitarbeiter leicht zugänglichen Stelle erfolgen.</w:t>
      </w:r>
    </w:p>
    <w:p>
      <w:r>
        <w:t xml:space="preserve">(3) Als Gefahrgutbeauftragter darf nur bestellt werden oder als Unternehmer selbst die Funktion des Gefahrgutbeauftragten wahrnehmen, wer Inhaber eines für den betroffenen Verkehrsträger gültigen Schulungsnachweises nach § 4 ist.</w:t>
      </w:r>
    </w:p>
    <w:p>
      <w:r>
        <w:t xml:space="preserve">(4) Wenn ein nach § 2 befreites Unternehmen wiederholt oder schwerwiegend gegen Vorschriften über die Beförderung gefährlicher Güter verstößt, kann die zuständige Behörde die Bestellung eines Gefahrgutbeauftragten anordnen.</w:t>
      </w:r>
    </w:p>
    <w:p>
      <w:r>
        <w:t xml:space="preserve">(5) Die zuständige Behörde trifft die zur Einhaltung dieser Verordnung erforderlichen Anordnungen. Sie kann insbesondere die Abberufung des bestellten Gefahrgutbeauftragten und die Bestellung eines anderen Gefahrgutbeauftragten verlangen.</w:t>
      </w:r>
    </w:p>
    <w:p>
      <w:r>
        <w:rPr>
          <w:color w:val="555555"/>
          <w:sz w:val="17"/>
        </w:rPr>
        <w:t xml:space="preserve">Zitiervorschlag: § 3 GbV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https://recht.nulegal.eu/gesetze/GbV%202011/3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