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GbV 2011 — Befreiungen</w:t>
      </w:r>
    </w:p>
    <w:p>
      <w:r>
        <w:rPr>
          <w:color w:val="555555"/>
          <w:sz w:val="18"/>
        </w:rPr>
        <w:t xml:space="preserve">Gefahrgutbeauftragtenverordnung</w:t>
      </w:r>
    </w:p>
    <w:p>
      <w:r>
        <w:rPr>
          <w:color w:val="555555"/>
          <w:sz w:val="18"/>
        </w:rPr>
        <w:t xml:space="preserve">Stand: 02.04.2021 (konsolidierte Textfassung, kein amtliches Inkrafttretensdatum)</w:t>
      </w:r>
    </w:p>
    <w:p>
      <w:r>
        <w:t xml:space="preserve">(1) Die Vorschriften dieser Verordnung gelten nicht für Unternehmen,</w:t>
      </w:r>
    </w:p>
    <w:p>
      <w:pPr>
        <w:ind w:left="420"/>
      </w:pPr>
      <w:r>
        <w:t xml:space="preserve">1. denen ausschließlich Pflichten als Fahrzeugführer, Triebfahrzeugführer, Schiffsführer, Besatzung in der Binnenschifffahrt, Betreiber einer Annahmestelle in der Binnenschifffahrt, Empfänger, Reisender, Hersteller und Rekonditionierer von Verpackungen, Wiederaufarbeiter von Verpackungen und Großpackmitteln (IBC) und als Stelle für Inspektionen und Prüfungen von IBC zugewiesen sind,</w:t>
      </w:r>
    </w:p>
    <w:p>
      <w:pPr>
        <w:ind w:left="420"/>
      </w:pPr>
      <w:r>
        <w:t xml:space="preserve">2. denen ausschließlich Pflichten als Auftraggeber des Absenders zugewiesen sind und die an der Beförderung gefährlicher Güter von nicht mehr als 50 Tonnen netto je Kalenderjahr beteiligt sind, ausgenommen radioaktive Stoffe der Klasse 7 und gefährliche Güter der Beförderungskategorie 0 nach Absatz 1.1.3.6.3 ADR,</w:t>
      </w:r>
    </w:p>
    <w:p>
      <w:pPr>
        <w:ind w:left="420"/>
      </w:pPr>
      <w:r>
        <w:t xml:space="preserve">3. denen ausschließlich Pflichten als Entlader zugewiesen sind und die an der Beförderung gefährlicher Güter von nicht mehr als 50 Tonnen netto je Kalenderjahr beteiligt sind,</w:t>
      </w:r>
    </w:p>
    <w:p>
      <w:pPr>
        <w:ind w:left="420"/>
      </w:pPr>
      <w:r>
        <w:t xml:space="preserve">4. deren Tätigkeit sich auf die Beförderung gefährlicher Güter erstreckt, die von den Vorschriften des ADR/RID/ADN/IMDG-Code freigestellt sind,</w:t>
      </w:r>
    </w:p>
    <w:p>
      <w:pPr>
        <w:ind w:left="420"/>
      </w:pPr>
      <w:r>
        <w:t xml:space="preserve">5. deren Tätigkeit sich auf die Beförderung gefährlicher Güter im Straßen-, Eisenbahn-, Binnenschiffs- oder Seeverkehr erstreckt, deren Mengen die in Unterabschnitt 1.1.3.6 ADR festgelegten höchstzulässigen Mengen nicht überschreiten,</w:t>
      </w:r>
    </w:p>
    <w:p>
      <w:pPr>
        <w:ind w:left="420"/>
      </w:pPr>
      <w:r>
        <w:t xml:space="preserve">6. deren Tätigkeit sich auf die Beförderung gefährlicher Güter erstreckt, die nach den Bedingungen des Kapitels 3.3, 3.4 und 3.5 ADR/RID/ADN/IMDG-Code freigestellt sind, und</w:t>
      </w:r>
    </w:p>
    <w:p>
      <w:pPr>
        <w:ind w:left="420"/>
      </w:pPr>
      <w:r>
        <w:t xml:space="preserve">7. die gefährliche Güter von nicht mehr als 50 Tonnen netto je Kalenderjahr für den Eigenbedarf in Erfüllung betrieblicher Aufgaben befördern, wobei dies bei radioaktiven Stoffen nur für solche der UN-Nummern 2908 bis 2911 gilt.</w:t>
      </w:r>
    </w:p>
    <w:p>
      <w:r>
        <w:t xml:space="preserve">(2) Die Befreiungstatbestände nach Absatz 1 können auch nebeneinander in Anspruch genommen werden.</w:t>
      </w:r>
    </w:p>
    <w:p>
      <w:r>
        <w:rPr>
          <w:color w:val="555555"/>
          <w:sz w:val="17"/>
        </w:rPr>
        <w:t xml:space="preserve">Zitiervorschlag: § 2 GbV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https://recht.nulegal.eu/gesetze/GbV%202011/2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