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GbAusV — Ziel und Zeitpunkt</w:t>
      </w:r>
    </w:p>
    <w:p>
      <w:r>
        <w:rPr>
          <w:color w:val="555555"/>
          <w:sz w:val="18"/>
        </w:rPr>
        <w:t xml:space="preserve">Geigenbauerausbildungsverordnung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Zur Ermittlung des Ausbildungsstandes ist eine Zwischenprüfung durchzuführen.</w:t>
      </w:r>
    </w:p>
    <w:p>
      <w:r>
        <w:t xml:space="preserve">(2) Die Zwischenprüfung soll am Ende des zweiten Ausbildungsjahres stattfinden.</w:t>
      </w:r>
    </w:p>
    <w:p>
      <w:r>
        <w:rPr>
          <w:color w:val="555555"/>
          <w:sz w:val="17"/>
        </w:rPr>
        <w:t xml:space="preserve">Zitiervorschlag: § 7 GbAusV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https://recht.nulegal.eu/gesetze/GbAusV/7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