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GbAusV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Herstellen eines weißenspielfertigen Streichinstrumentes    mit 30 Prozent,</w:t>
      </w:r>
    </w:p>
    <w:p>
      <w:r>
        <w:rPr>
          <w:rFonts w:ascii="Courier New" w:hAnsi="Courier New"/>
          <w:sz w:val="17"/>
        </w:rPr>
        <w:t xml:space="preserve">Durchführen von Teilarbeiten    mit 30 Prozent,</w:t>
      </w:r>
    </w:p>
    <w:p>
      <w:r>
        <w:rPr>
          <w:rFonts w:ascii="Courier New" w:hAnsi="Courier New"/>
          <w:sz w:val="17"/>
        </w:rPr>
        <w:t xml:space="preserve">Planung und Konstruktion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„Planung und Konstruktion“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