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GbAusV — Prüfungsbereich Durchführen von Teilarbeiten</w:t>
      </w:r>
    </w:p>
    <w:p>
      <w:r>
        <w:rPr>
          <w:color w:val="555555"/>
          <w:sz w:val="18"/>
        </w:rPr>
        <w:t xml:space="preserve">Geigenbauerausbildungsverordnung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Durchführen von Teilarbeiten soll der Prüfling nachweisen, dass er in der Lage ist,</w:t>
      </w:r>
    </w:p>
    <w:p>
      <w:pPr>
        <w:ind w:left="420"/>
      </w:pPr>
      <w:r>
        <w:t xml:space="preserve">1. Arbeitsschritte zu planen,</w:t>
      </w:r>
    </w:p>
    <w:p>
      <w:pPr>
        <w:ind w:left="420"/>
      </w:pPr>
      <w:r>
        <w:t xml:space="preserve">2. Werkzeuge auszuwählen und zu handhaben,</w:t>
      </w:r>
    </w:p>
    <w:p>
      <w:pPr>
        <w:ind w:left="420"/>
      </w:pPr>
      <w:r>
        <w:t xml:space="preserve">3. Werk- und Hilfsstoffe auszuwählen und zu bearbeiten und zu verarbeiten,</w:t>
      </w:r>
    </w:p>
    <w:p>
      <w:pPr>
        <w:ind w:left="420"/>
      </w:pPr>
      <w:r>
        <w:t xml:space="preserve">4. Verbindungstechniken auszuwählen und Verbindungen herzustellen,</w:t>
      </w:r>
    </w:p>
    <w:p>
      <w:pPr>
        <w:ind w:left="420"/>
      </w:pPr>
      <w:r>
        <w:t xml:space="preserve">5. Teilarbeiten zur Herstellung eines spielfertigen Streichinstrumentes mit unbehandelter Oberfläche durchzuführen,</w:t>
      </w:r>
    </w:p>
    <w:p>
      <w:pPr>
        <w:ind w:left="420"/>
      </w:pPr>
      <w:r>
        <w:t xml:space="preserve">6. Maßnahmen zur Arbeitsorganisation, zur Sicherheit und zum Gesundheitsschutz bei der Arbeit, zum Umweltschutz, zur Kundenorientierung, zur Wirtschaftlichkeit und zur Qualitätssicherung zu berücksichtigen sowie</w:t>
      </w:r>
    </w:p>
    <w:p>
      <w:pPr>
        <w:ind w:left="420"/>
      </w:pPr>
      <w:r>
        <w:t xml:space="preserve">7. fachliche Hintergründe aufzuzeigen und die Vorgehensweise bei der Durchführung der Teilarbeiten zu begründen.</w:t>
      </w:r>
    </w:p>
    <w:p>
      <w:r>
        <w:t xml:space="preserve">(2) Für den Nachweis nach Absatz 1 sind aus folgenden fünf Tätigkeiten drei Tätigkeiten auszuwählen:</w:t>
      </w:r>
    </w:p>
    <w:p>
      <w:pPr>
        <w:ind w:left="420"/>
      </w:pPr>
      <w:r>
        <w:t xml:space="preserve">1. F-Löcher einschneiden,</w:t>
      </w:r>
    </w:p>
    <w:p>
      <w:pPr>
        <w:ind w:left="420"/>
      </w:pPr>
      <w:r>
        <w:t xml:space="preserve">2. Bassbalken einpassen,</w:t>
      </w:r>
    </w:p>
    <w:p>
      <w:pPr>
        <w:ind w:left="420"/>
      </w:pPr>
      <w:r>
        <w:t xml:space="preserve">3. Randstärke ausarbeiten,</w:t>
      </w:r>
    </w:p>
    <w:p>
      <w:pPr>
        <w:ind w:left="420"/>
      </w:pPr>
      <w:r>
        <w:t xml:space="preserve">4. Umriss zuschneiden oder</w:t>
      </w:r>
    </w:p>
    <w:p>
      <w:pPr>
        <w:ind w:left="420"/>
      </w:pPr>
      <w:r>
        <w:t xml:space="preserve">5. Arbeitsgänge zum Spielfertigmachen an einem Streichinstrument durchführen.</w:t>
      </w:r>
    </w:p>
    <w:p>
      <w:r>
        <w:t xml:space="preserve">Anstelle einer dieser Tätigkeiten kann eine andere Tätigkeit ausgewählt werden, wenn sie in gleicher Breite und Tiefe den Nachweis nach Absatz 1 ermöglicht.</w:t>
      </w:r>
    </w:p>
    <w:p>
      <w:r>
        <w:t xml:space="preserve">(3) Der Prüfling soll drei Arbeitsproben durchführen. Nach der Durchführung der Arbeitsprobe wird mit ihm ein auftragsbezogenes Fachgespräch geführt.</w:t>
      </w:r>
    </w:p>
    <w:p>
      <w:r>
        <w:t xml:space="preserve">(4) Die Prüfungszeit beträgt insgesamt sieben Stunden. Das auftragsbezogene Fachgespräch dauert höchstens 15 Minuten.</w:t>
      </w:r>
    </w:p>
    <w:p>
      <w:r>
        <w:rPr>
          <w:color w:val="555555"/>
          <w:sz w:val="17"/>
        </w:rPr>
        <w:t xml:space="preserve">Zitiervorschlag: § 14 GbAusV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https://recht.nulegal.eu/gesetze/GbAusV/14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