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GbAusV — Prüfungsbereiche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findet in den folgenden Prüfungsbereichen statt:</w:t>
      </w:r>
    </w:p>
    <w:p>
      <w:pPr>
        <w:ind w:left="420"/>
      </w:pPr>
      <w:r>
        <w:t xml:space="preserve">1. Herstellen eines weißen spielfertigen Streichinstrumentes,</w:t>
      </w:r>
    </w:p>
    <w:p>
      <w:pPr>
        <w:ind w:left="420"/>
      </w:pPr>
      <w:r>
        <w:t xml:space="preserve">2. Durchführen von Teilarbeiten,</w:t>
      </w:r>
    </w:p>
    <w:p>
      <w:pPr>
        <w:ind w:left="420"/>
      </w:pPr>
      <w:r>
        <w:t xml:space="preserve">3. Planung und Konstruktion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12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