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GbAusV — Staatliche Anerkennung des Ausbildungsberufes</w:t>
      </w:r>
    </w:p>
    <w:p>
      <w:r>
        <w:rPr>
          <w:color w:val="555555"/>
          <w:sz w:val="18"/>
        </w:rPr>
        <w:t xml:space="preserve">Geigenbauerausbildungsverordnung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Geigenbauers und der Geigenbauerin wird nach § 25 der Handwerksordnung zur Ausbildung für das Gewerbe nach Anlage B Abschnitt 1 Nummer 47 „Geigenbauer“ der Handwerksordnung staatlich anerkannt.</w:t>
      </w:r>
    </w:p>
    <w:p>
      <w:r>
        <w:rPr>
          <w:color w:val="555555"/>
          <w:sz w:val="17"/>
        </w:rPr>
        <w:t xml:space="preserve">Zitiervorschlag: § 1 GbAusV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https://recht.nulegal.eu/gesetze/GbAusV/1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