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GastroAusbV — Inhalt der Zusatzqualifikation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Über das in § 7 beschriebene Ausbildungsberufsbild hinaus kann die Ausbildung in der Zusatzqualifikation Bar und Wein vereinbart werden.</w:t>
      </w:r>
    </w:p>
    <w:p>
      <w:r>
        <w:t xml:space="preserve">(2) Gegenstand der Zusatzqualifikation sind die in Anlage 4 genannten Fertigkeiten, Kenntnisse und Fähigkeiten.</w:t>
      </w:r>
    </w:p>
    <w:p>
      <w:r>
        <w:rPr>
          <w:color w:val="555555"/>
          <w:sz w:val="17"/>
        </w:rPr>
        <w:t xml:space="preserve">Zitiervorschlag: § 46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