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GastroAusbV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„Produktion und Service“    mit 25 Prozent,</w:t>
      </w:r>
    </w:p>
    <w:p>
      <w:r>
        <w:rPr>
          <w:rFonts w:ascii="Courier New" w:hAnsi="Courier New"/>
          <w:sz w:val="17"/>
        </w:rPr>
        <w:t xml:space="preserve">„Gasterlebnis, Verkaufsförderung, Marketing und Warenlagerung“    mit 20 Prozent,</w:t>
      </w:r>
    </w:p>
    <w:p>
      <w:r>
        <w:rPr>
          <w:rFonts w:ascii="Courier New" w:hAnsi="Courier New"/>
          <w:sz w:val="17"/>
        </w:rPr>
        <w:t xml:space="preserve">„Personal- und Warenwirtschaft sowie Steuerung und Kontrolle in der Systemgastronomie“    mit 20 Prozent,</w:t>
      </w:r>
    </w:p>
    <w:p>
      <w:r>
        <w:rPr>
          <w:rFonts w:ascii="Courier New" w:hAnsi="Courier New"/>
          <w:sz w:val="17"/>
        </w:rPr>
        <w:t xml:space="preserve">„Betriebliche Abläufe in der Systemgastronomie“    mit 25 Prozent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45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44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