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GastroAusbV — Prüfungsbereich „Betriebliche Abläufe in der Systemgastronomie“</w:t>
      </w:r>
    </w:p>
    <w:p>
      <w:r>
        <w:rPr>
          <w:color w:val="555555"/>
          <w:sz w:val="18"/>
        </w:rPr>
        <w:t xml:space="preserve">Gastronomieberufeausbildungsverordnung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Im Prüfungsbereich „Betriebliche Abläufe in der Systemgastronomie“ hat der Prüfling nachzuweisen, dass er in der Lage ist,</w:t>
      </w:r>
    </w:p>
    <w:p>
      <w:pPr>
        <w:ind w:left="420"/>
      </w:pPr>
      <w:r>
        <w:t xml:space="preserve">1. die berufstypischen Aufgabenstellungen zu erfassen, Vorgehensweisen aufzuzeigen und zu begründen sowie Probleme zu analysieren, Lösungswege aufzuzeigen und zu begründen,</w:t>
      </w:r>
    </w:p>
    <w:p>
      <w:pPr>
        <w:ind w:left="420"/>
      </w:pPr>
      <w:r>
        <w:t xml:space="preserve">2. betriebspraktische Aufgaben unter Berücksichtigung wirtschaftlicher, ökologischer und rechtlicher Zusammenhänge zu planen, durchzuführen und auszuwerten,</w:t>
      </w:r>
    </w:p>
    <w:p>
      <w:pPr>
        <w:ind w:left="420"/>
      </w:pPr>
      <w:r>
        <w:t xml:space="preserve">3. unternehmens-, gast- und mitarbeiterorientiert zu handeln sowie</w:t>
      </w:r>
    </w:p>
    <w:p>
      <w:pPr>
        <w:ind w:left="420"/>
      </w:pPr>
      <w:r>
        <w:t xml:space="preserve">4. Kommunikations- und Kooperationsbedingungen zu berücksichtigen.</w:t>
      </w:r>
    </w:p>
    <w:p>
      <w:r>
        <w:t xml:space="preserve">(2) Für den Nachweis nach Absatz 1 sind drei der folgenden Gebiete zugrunde zu legen:</w:t>
      </w:r>
    </w:p>
    <w:p>
      <w:pPr>
        <w:ind w:left="420"/>
      </w:pPr>
      <w:r>
        <w:t xml:space="preserve">1. Organisation, Prozesse und Standards in der Systemgastronomie,</w:t>
      </w:r>
    </w:p>
    <w:p>
      <w:pPr>
        <w:ind w:left="420"/>
      </w:pPr>
      <w:r>
        <w:t xml:space="preserve">2. Produkteinführung,</w:t>
      </w:r>
    </w:p>
    <w:p>
      <w:pPr>
        <w:ind w:left="420"/>
      </w:pPr>
      <w:r>
        <w:t xml:space="preserve">3. Warenwirtschaft,</w:t>
      </w:r>
    </w:p>
    <w:p>
      <w:pPr>
        <w:ind w:left="420"/>
      </w:pPr>
      <w:r>
        <w:t xml:space="preserve">4. kaufmännische Steuerung und Kontrolle und</w:t>
      </w:r>
    </w:p>
    <w:p>
      <w:pPr>
        <w:ind w:left="420"/>
      </w:pPr>
      <w:r>
        <w:t xml:space="preserve">5. Teamkommunikation und Personalaufgaben.</w:t>
      </w:r>
    </w:p>
    <w:p>
      <w:r>
        <w:t xml:space="preserve">(3) Der Prüfungsausschuss legt fest, welche Gebiete zugrunde gelegt werden.</w:t>
      </w:r>
    </w:p>
    <w:p>
      <w:r>
        <w:t xml:space="preserve">(4) Der Prüfling hat eine Arbeitsaufgabe durchzuführen. Anschließend wird mit ihm ein auftragsbezogenes Fachgespräch geführt.</w:t>
      </w:r>
    </w:p>
    <w:p>
      <w:r>
        <w:t xml:space="preserve">(5) Die Prüfungszeit beträgt insgesamt 90 Minuten. Das auftragsbezogene Fachgespräch dauert höchstens 10 Minuten.</w:t>
      </w:r>
    </w:p>
    <w:p>
      <w:r>
        <w:rPr>
          <w:color w:val="555555"/>
          <w:sz w:val="17"/>
        </w:rPr>
        <w:t xml:space="preserve">Zitiervorschlag: § 42 GastroAusbV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https://recht.nulegal.eu/gesetze/GastroAusbV/42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