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GastroAusbV — Mündliche Ergänzungsprüfung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Prüfling kann in einem Prüfungsbereich für die schriftlich zu bearbeitenden Aufgaben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„Gasterlebnis, Verkaufsförderung, Produktkompetenz und Warenlagerung“,</w:t>
      </w:r>
    </w:p>
    <w:p>
      <w:pPr>
        <w:ind w:left="780"/>
      </w:pPr>
      <w:r>
        <w:t xml:space="preserve">b) „Veranstaltungsplanung, Restaurant- und Bankettservice“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die schriftlich zu bearbeitenden Aufgaben des benannten Prüfungsbereichs schlechter als mit „ausreichend“ bewertet worden sind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der schriftlich zu bearbeitenden Aufgaben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30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