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GastroAusbV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„Produktion und Service“    mit 25 Prozent,</w:t>
      </w:r>
    </w:p>
    <w:p>
      <w:r>
        <w:rPr>
          <w:rFonts w:ascii="Courier New" w:hAnsi="Courier New"/>
          <w:sz w:val="17"/>
        </w:rPr>
        <w:t xml:space="preserve">„Gasterlebnis, Verkaufsförderung, Produktkompetenz und Warenlagerung“    mit 20 Prozent,</w:t>
      </w:r>
    </w:p>
    <w:p>
      <w:r>
        <w:rPr>
          <w:rFonts w:ascii="Courier New" w:hAnsi="Courier New"/>
          <w:sz w:val="17"/>
        </w:rPr>
        <w:t xml:space="preserve">„Veranstaltungsplanung, Restaurant- und Bankettservice“    mit 35 Prozent,</w:t>
      </w:r>
    </w:p>
    <w:p>
      <w:r>
        <w:rPr>
          <w:rFonts w:ascii="Courier New" w:hAnsi="Courier New"/>
          <w:sz w:val="17"/>
        </w:rPr>
        <w:t xml:space="preserve">„Teamkommunikation und Gesprächsführung“    mit 10 Prozent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30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29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