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GastroAusbV — Prüfungsbereiche des Teiles 2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„Gasterlebnis, Verkaufsförderung, Produktkompetenz und Warenlagerung“,</w:t>
      </w:r>
    </w:p>
    <w:p>
      <w:pPr>
        <w:ind w:left="420"/>
      </w:pPr>
      <w:r>
        <w:t xml:space="preserve">2. „Veranstaltungsplanung, Restaurant- und Bankettservice“,</w:t>
      </w:r>
    </w:p>
    <w:p>
      <w:pPr>
        <w:ind w:left="420"/>
      </w:pPr>
      <w:r>
        <w:t xml:space="preserve">3. „Teamkommunikation und Gesprächsführung“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24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