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GastStG — Rechtspersönlichkeit und Rechtsfähigkeit</w:t>
      </w:r>
    </w:p>
    <w:p>
      <w:r>
        <w:rPr>
          <w:color w:val="555555"/>
          <w:sz w:val="18"/>
        </w:rPr>
        <w:t xml:space="preserve">Gaststaatgesetz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Eine internationale Organisation im Sinne von § 3 besitzt in Deutschland Rechtspersönlichkeit und kann</w:t>
      </w:r>
    </w:p>
    <w:p>
      <w:pPr>
        <w:ind w:left="420"/>
      </w:pPr>
      <w:r>
        <w:t xml:space="preserve">1. Verträge schließen;</w:t>
      </w:r>
    </w:p>
    <w:p>
      <w:pPr>
        <w:ind w:left="420"/>
      </w:pPr>
      <w:r>
        <w:t xml:space="preserve">2. über bewegliches und unbewegliches Vermögen verfügen und</w:t>
      </w:r>
    </w:p>
    <w:p>
      <w:pPr>
        <w:ind w:left="420"/>
      </w:pPr>
      <w:r>
        <w:t xml:space="preserve">3. vor Gericht klagen und verklagt werden.</w:t>
      </w:r>
    </w:p>
    <w:p>
      <w:r>
        <w:t xml:space="preserve">(2) Die rechtswirksame Vertretung der internationalen Organisation richtet sich nach ihren Statuten.</w:t>
      </w:r>
    </w:p>
    <w:p>
      <w:r>
        <w:rPr>
          <w:color w:val="555555"/>
          <w:sz w:val="17"/>
        </w:rPr>
        <w:t xml:space="preserve">Zitiervorschlag: § 4 GastStG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https://recht.nulegal.eu/gesetze/GastStG/4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