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GastStG — Beilegung von Streitigkeiten</w:t>
      </w:r>
    </w:p>
    <w:p>
      <w:r>
        <w:rPr>
          <w:color w:val="555555"/>
          <w:sz w:val="18"/>
        </w:rPr>
        <w:t xml:space="preserve">Gaststaatgesetz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Streitigkeiten zwischen der internationalen Organisation und der Bundesrepublik Deutschland werden gemäß dem nach § 3 Absatz 1 Satz 3 Nummer 4 abzuschließenden Sitzabkommen vereinbarten Mechanismus beigelegt.</w:t>
      </w:r>
    </w:p>
    <w:p>
      <w:r>
        <w:t xml:space="preserve">(2) Beim Abschluss des Sitzabkommens mit einer internationalen Organisation hat die Bundesregierung darauf hinzuwirken, dass die Organisation sich dazu verpflichtet, geeignete Maßnahmen zu ergreifen, zur Beilegung:</w:t>
      </w:r>
    </w:p>
    <w:p>
      <w:pPr>
        <w:ind w:left="420"/>
      </w:pPr>
      <w:r>
        <w:t xml:space="preserve">1. von Streitigkeiten aus privatrechtlichen Verträgen, insbesondere auch arbeitsrechtlicher Natur, und von anderen privatrechtlichen Streitigkeiten, bei denen die internationale Organisation Streitpartei ist, und</w:t>
      </w:r>
    </w:p>
    <w:p>
      <w:pPr>
        <w:ind w:left="420"/>
      </w:pPr>
      <w:r>
        <w:t xml:space="preserve">2. von Streitigkeiten, an denen ein Bediensteter der internationalen Organisation beteiligt ist, der auf Grund seiner amtlichen Stellung Immunität genießt, sofern diese nicht aufgehoben worden ist.</w:t>
      </w:r>
    </w:p>
    <w:p>
      <w:r>
        <w:t xml:space="preserve">(3) Die Absätze 1 und 2 gelten entsprechend beim Abschluss eines sonstigen rechtlich bindenden Instruments mit einer weiteren internationalen Institution aus Teil 3 dieses Gesetzes.</w:t>
      </w:r>
    </w:p>
    <w:p>
      <w:r>
        <w:rPr>
          <w:color w:val="555555"/>
          <w:sz w:val="17"/>
        </w:rPr>
        <w:t xml:space="preserve">Zitiervorschlag: § 37 GastStG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https://recht.nulegal.eu/gesetze/GastStG/37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