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GastStG — Steuerliche Vergünstigungen; Anerkennung der Gemeinnützigkeit</w:t>
      </w:r>
    </w:p>
    <w:p>
      <w:r>
        <w:rPr>
          <w:color w:val="555555"/>
          <w:sz w:val="18"/>
        </w:rPr>
        <w:t xml:space="preserve">Gaststaatgesetz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Steuerliche Vergünstigungen ergeben sich ausschließlich nach Maßgabe der §§ 51 bis 68 der Abgabenordnung und der darauf Bezug nehmenden Vorschriften der Einzelsteuergesetze.</w:t>
      </w:r>
    </w:p>
    <w:p>
      <w:r>
        <w:rPr>
          <w:color w:val="555555"/>
          <w:sz w:val="17"/>
        </w:rPr>
        <w:t xml:space="preserve">Zitiervorschlag: § 34 GastStG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https://recht.nulegal.eu/gesetze/GastStG/34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