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GastStG — Befreiungen von Zöllen, Verboten, Beschränkungen</w:t>
      </w:r>
    </w:p>
    <w:p>
      <w:r>
        <w:rPr>
          <w:color w:val="555555"/>
          <w:sz w:val="18"/>
        </w:rPr>
        <w:t xml:space="preserve">Gaststaatgesetz</w:t>
      </w:r>
    </w:p>
    <w:p>
      <w:r>
        <w:rPr>
          <w:color w:val="555555"/>
          <w:sz w:val="18"/>
        </w:rPr>
        <w:t xml:space="preserve">Stand: 10.12.2019 (konsolidierte Textfassung, kein amtliches Inkrafttretensdatum)</w:t>
      </w:r>
    </w:p>
    <w:p>
      <w:r>
        <w:t xml:space="preserve">(1) Die internationale Organisation, ihre Gelder, Guthaben und sonstigen Vermögenswerte sind von allen Zöllen, Verboten und Beschränkungen hinsichtlich der von der internationalen Organisation für ihren amtlichen Gebrauch ein- oder ausgeführten Gegenstände einschließlich einer angemessenen Anzahl an Kraftfahrzeugen befreit, soweit dies mit dem Recht der Europäischen Union vereinbar und in einem mehrseitigen Übereinkommen zwischen den Mitgliedstaaten der Organisation oder dem Sitzabkommen festgelegt ist. Die demgemäß zollfrei eingeführten oder gekauften Gegenstände dürfen jedoch in Deutschland nur zu den mit der Bundesregierung vereinbarten Bedingungen und unter Zahlung der anzuwendenden Zölle verkauft, entgeltlich oder unentgeltlich abgegeben oder in anderer Weise veräußert werden.</w:t>
      </w:r>
    </w:p>
    <w:p>
      <w:r>
        <w:t xml:space="preserve">(2) Die internationale Organisation genießt im Rahmen des Rechts der EU Befreiungen von Ein- und Ausfuhrverboten und -beschränkungen hinsichtlich ihrer Veröffentlichungen und ihrer audiovisuellen Materialien.</w:t>
      </w:r>
    </w:p>
    <w:p>
      <w:r>
        <w:rPr>
          <w:color w:val="555555"/>
          <w:sz w:val="17"/>
        </w:rPr>
        <w:t xml:space="preserve">Zitiervorschlag: § 14 GastStG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https://recht.nulegal.eu/gesetze/GastStG/14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