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GastG — Versagungsgründe</w:t>
      </w:r>
    </w:p>
    <w:p>
      <w:r>
        <w:rPr>
          <w:color w:val="555555"/>
          <w:sz w:val="18"/>
        </w:rPr>
        <w:t xml:space="preserve">Gaststättengesetz</w:t>
      </w:r>
    </w:p>
    <w:p>
      <w:r>
        <w:rPr>
          <w:color w:val="555555"/>
          <w:sz w:val="18"/>
        </w:rPr>
        <w:t xml:space="preserve">Stand: 10.06.2019 (konsolidierte Textfassung, kein amtliches Inkrafttretensdatum)</w:t>
      </w:r>
    </w:p>
    <w:p>
      <w:r>
        <w:t xml:space="preserve">(1) Die Erlaubnis ist zu versagen, wenn</w:t>
      </w:r>
    </w:p>
    <w:p>
      <w:pPr>
        <w:ind w:left="420"/>
      </w:pPr>
      <w:r>
        <w:t xml:space="preserve">1. Tatsachen die Annahme rechtfertigen, daß der Antragsteller die für den Gewerbebetrieb erforderliche Zuverlässigkeit nicht besitzt, insbesondere dem Trunke ergeben ist oder befürchten läßt, daß er Unerfahrene, Leichtsinnige oder Willensschwache ausbeuten wird oder dem Alkoholmißbrauch, verbotenem Glücksspiel, der Hehlerei oder der Unsittlichkeit Vorschub leisten wird oder die Vorschriften des Gesundheits- oder Lebensmittelrechts, des Arbeits- oder Jugendschutzes nicht einhalten wird,</w:t>
      </w:r>
    </w:p>
    <w:p>
      <w:pPr>
        <w:ind w:left="420"/>
      </w:pPr>
      <w:r>
        <w:t xml:space="preserve">2. die zum Betrieb des Gewerbes oder zum Aufenthalt der Beschäftigten bestimmten Räume wegen ihrer Lage, Beschaffenheit, Ausstattung oder Einteilung für den Betrieb nicht geeignet sind, insbesondere den notwendigen Anforderungen zum Schutze der Gäste und der Beschäftigten gegen Gefahren für Leben, Gesundheit oder Sittlichkeit oder den sonst zur Aufrechterhaltung der öffentlichen Sicherheit oder Ordnung notwendigen Anforderungen nicht genügen oder</w:t>
      </w:r>
    </w:p>
    <w:p>
      <w:pPr>
        <w:ind w:left="420"/>
      </w:pPr>
      <w:r>
        <w:t xml:space="preserve">2a. die zum Betrieb des Gewerbes für Gäste bestimmten Räume von behinderten Menschen nicht barrierefrei genutzt werden können, soweit diese Räume in einem Gebäude liegen, für das nach dem 1. November 2002 eine Baugenehmigung für die erstmalige Errichtung, für einen wesentlichen Umbau oder eine wesentliche Erweiterung erteilt wurde oder das, für den Fall, dass eine Baugenehmigung nicht erforderlich ist, nach dem 1. Mai 2002 fertig gestellt oder wesentlich umgebaut oder erweitert wurde,</w:t>
      </w:r>
    </w:p>
    <w:p>
      <w:pPr>
        <w:ind w:left="420"/>
      </w:pPr>
      <w:r>
        <w:t xml:space="preserve">3. der Gewerbebetrieb im Hinblick auf seine örtliche Lage oder auf die Verwendung der Räume dem öffentlichen Interesse widerspricht, insbesondere schädliche Umwelteinwirkungen im Sinne des Bundes-Immissionsschutzgesetzes oder sonst erhebliche Nachteile, Gefahren oder Belästigungen für die Allgemeinheit befürchten läßt,</w:t>
      </w:r>
    </w:p>
    <w:p>
      <w:pPr>
        <w:ind w:left="420"/>
      </w:pPr>
      <w:r>
        <w:t xml:space="preserve">4. der Antragsteller nicht durch eine Bescheinigung einer Industrie- und Handelskammer nachweist, daß er oder sein Stellvertreter (§ 9) über die Grundzüge der für den in Aussicht genommenen Betrieb notwendigen lebensmittelrechtlichen Kenntnisse unterrichtet worden ist und mit ihnen als vertraut gelten kann.</w:t>
      </w:r>
    </w:p>
    <w:p>
      <w:r>
        <w:t xml:space="preserve">Die Erlaubnis kann entgegen Satz 1 Nr. 2a erteilt werden, wenn eine barrierefreie Gestaltung der Räume nicht möglich ist oder nur mit unzumutbaren Aufwendungen erreicht werden kann.</w:t>
      </w:r>
    </w:p>
    <w:p>
      <w:r>
        <w:t xml:space="preserve">(2) Wird bei juristischen Personen oder nichtrechtsfähigen Vereinen nach Erteilung der Erlaubnis eine andere Person zur Vertretung nach Gesetz, Satzung oder Gesellschaftsvertrag berufen, so ist dies unverzüglich der Erlaubnisbehörde anzuzeigen.</w:t>
      </w:r>
    </w:p>
    <w:p>
      <w:r>
        <w:t xml:space="preserve">(3) Die Landesregierungen können zur Durchführung des Absatzes 1 Nr. 2 durch Rechtsverordnung die Mindestanforderungen bestimmen, die an die Lage, Beschaffenheit, Ausstattung und Einteilung der Räume im Hinblick auf die jeweilige Betriebsart und Art der zugelassenen Getränke oder Speisen zu stellen sind. Die Landesregierungen können durch Rechtsverordnung</w:t>
      </w:r>
    </w:p>
    <w:p>
      <w:pPr>
        <w:ind w:left="420"/>
      </w:pPr>
      <w:r>
        <w:t xml:space="preserve">a) zur Durchführung des Absatzes 1 Satz 1 Nr. 2a Mindestanforderungen bestimmen, die mit dem Ziel der Herstellung von Barrierefreiheit an die Lage, Beschaffenheit, Ausstattung und Einteilung der Räume zu stellen sind, und</w:t>
      </w:r>
    </w:p>
    <w:p>
      <w:pPr>
        <w:ind w:left="420"/>
      </w:pPr>
      <w:r>
        <w:t xml:space="preserve">b) zur Durchführung des Absatzes 1 Satz 2 die Voraussetzungen für das Vorliegen eines Falles der Unzumutbarkeit festlegen.</w:t>
      </w:r>
    </w:p>
    <w:p>
      <w:r>
        <w:t xml:space="preserve">Die Landesregierungen können durch Rechtsverordnung die Ermächtigung auf oberste Landesbehörden übertragen.</w:t>
      </w:r>
    </w:p>
    <w:p>
      <w:r>
        <w:rPr>
          <w:color w:val="555555"/>
          <w:sz w:val="17"/>
        </w:rPr>
        <w:t xml:space="preserve">Zitiervorschlag: § 4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