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GastG — Übergangsvorschriften</w:t>
      </w:r>
    </w:p>
    <w:p>
      <w:r>
        <w:rPr>
          <w:color w:val="555555"/>
          <w:sz w:val="18"/>
        </w:rPr>
        <w:t xml:space="preserve">Gaststättengesetz</w:t>
      </w:r>
    </w:p>
    <w:p>
      <w:r>
        <w:rPr>
          <w:color w:val="555555"/>
          <w:sz w:val="18"/>
        </w:rPr>
        <w:t xml:space="preserve">Stand: 10.06.2019 (konsolidierte Textfassung, kein amtliches Inkrafttretensdatum)</w:t>
      </w:r>
    </w:p>
    <w:p>
      <w:r>
        <w:t xml:space="preserve">(1) Eine vor Inkrafttreten dieses Gesetzes erteilte Erlaubnis oder Gestattung gilt im bisherigen Umfang als Erlaubnis oder Gestattung im Sinne dieses Gesetzes.</w:t>
      </w:r>
    </w:p>
    <w:p>
      <w:r>
        <w:t xml:space="preserve">(2) Soweit nach diesem Gesetz eine Erlaubnis erforderlich ist, gilt sie demjenigen als erteilt, der bei Inkrafttreten dieses Gesetzes ohne Erlaubnis oder Gestattung eine nach diesem Gesetz erlaubnisbedürftige Tätigkeit befugt ausübt. In den Fällen des Artikels 2 Abs. 1 des Erstens Teils des Vertrages zur Regelung aus Krieg und Besatzung entstandener Fragen (BGBl. 1955 II S. 405) gilt die Erlaubnis auch demjenigen erteilt, der eine nach diesem Gesetz erlaubnisbedürftige Tätigkeit innerhalb eines Jahres vor Inkrafttreten des Gesetzes befugt ausgeübt hat, ohne daß ihm die Ausübung der Tätigkeit bei Inkrafttreten des Gesetzes untersagt war.</w:t>
      </w:r>
    </w:p>
    <w:p>
      <w:r>
        <w:t xml:space="preserve">(3) Der in Absatz 2 bezeichnete Erlaubnisinhaber oder derjenige, der eine vor Inkrafttreten dieses Gesetzes erteilte Erlaubnis nicht nachweisen kann, hat seinen Betrieb der zuständigen Behörde anzuzeigen. Die Erlaubnisbehörde bestätigt dem Gewerbetreibenden kostenfrei und schriftlich, daß er zur Ausübung seines Gewerbes berechtigt ist. Die Bestätigung muß die Betriebsart sowie die Betriebsräume bezeichnen. Wird die Anzeige nicht innerhalb von sechs Monaten nach Inkrafttreten dieses Gesetzes erstattet, so erlischt die Erlaubnis.</w:t>
      </w:r>
    </w:p>
    <w:p>
      <w:r>
        <w:rPr>
          <w:color w:val="555555"/>
          <w:sz w:val="17"/>
        </w:rPr>
        <w:t xml:space="preserve">Zitiervorschlag: § 34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