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GastG — Inhalt der Erlaubnis</w:t>
      </w:r>
    </w:p>
    <w:p>
      <w:r>
        <w:rPr>
          <w:color w:val="555555"/>
          <w:sz w:val="18"/>
        </w:rPr>
        <w:t xml:space="preserve">Gaststättengesetz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ist für eine bestimmte Betriebsart und für bestimmte Räume zu erteilen. Die Betriebsart ist in der Erlaubnisurkunde zu bezeichnen; sie bestimmt sich nach der Art und Weise der Betriebsgestaltung, insbesondere nach den Betriebszeiten und der Art der Getränke, der zubereiteten Speisen, der Beherbergung oder der Darbietungen.</w:t>
      </w:r>
    </w:p>
    <w:p>
      <w:r>
        <w:t xml:space="preserve">(2) Die Erlaubnis darf auf Zeit erteilt werden, soweit dieses Gesetz es zuläßt oder der Antragsteller es beantragt.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3 GastG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