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GastG — Anwendungsbereich</w:t>
      </w:r>
    </w:p>
    <w:p>
      <w:r>
        <w:rPr>
          <w:color w:val="555555"/>
          <w:sz w:val="18"/>
        </w:rPr>
        <w:t xml:space="preserve">Gaststättengesetz</w:t>
      </w:r>
    </w:p>
    <w:p>
      <w:r>
        <w:rPr>
          <w:color w:val="555555"/>
          <w:sz w:val="18"/>
        </w:rPr>
        <w:t xml:space="preserve">Stand: 10.06.2019 (konsolidierte Textfassung, kein amtliches Inkrafttretensdatum)</w:t>
      </w:r>
    </w:p>
    <w:p>
      <w:r>
        <w:t xml:space="preserve">(1) Auf Kantinen für Betriebsangehörige sowie auf Betreuungseinrichtungen der im Inland stationierten ausländischen Streitkräfte, der Bundeswehr, der Bundespolizei oder der in Gemeinschaftsunterkünften untergebrachten Polizei finden die Vorschriften dieses Gesetzes keine Anwendung. Gleiches gilt für Luftfahrzeuge, Personenwagen von Eisenbahnunternehmen und anderen Schienenbahnen, Schiffe und Reisebusse, in denen anläßlich der Beförderung von Personen gastgewerbliche Leistungen erbracht werden.</w:t>
      </w:r>
    </w:p>
    <w:p>
      <w:r>
        <w:t xml:space="preserve">(2) Auf Gewerbetreibende, die am 1. Oktober 1998 eine Bahnhofsgaststätte befugt betrieben haben, findet § 34 Abs. 2 Satz 1 entsprechende Anwendung; die in § 4 Abs. 1 Nr. 2 genannten Anforderungen an die Lage, Beschaffenheit, Ausstattung oder Einteilung der zum Betrieb des Gewerbes oder zum Aufenthalt der Beschäftigten bestimmten Räume gelten als erfüllt. § 34 Abs. 3 findet mit der Maßgabe Anwendung, daß die Anzeige nach Satz 4 innerhalb von zwölf Monaten zu erstatten ist.</w:t>
      </w:r>
    </w:p>
    <w:p>
      <w:r>
        <w:rPr>
          <w:color w:val="555555"/>
          <w:sz w:val="17"/>
        </w:rPr>
        <w:t xml:space="preserve">Zitiervorschlag: § 25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