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GastG — Realgewerbeberechtigung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finden auch auf Realgewerbeberechtigungen Anwendung mit Ausnahme der Vorschriften über die Lage der Räume (§ 4 Abs. 1 Nr. 2) und über das öffentliche Interesse hinsichtlich der Verwendung der Räume (§ 4 Abs. 1 Nr. 3). Realgewerbeberechtigungen, die drei Jahre lang nicht ausgeübt worden sind, erlöschen. Die Frist kann von der Erlaubnisbehörde verlängert werden, wenn ein wichtiger Grund vorliegt.</w:t>
      </w:r>
    </w:p>
    <w:p>
      <w:r>
        <w:t xml:space="preserve">(2) Die Länder können bestimmen, daß auch die in Absatz 1 ausgenommenen Vorschriften Anwendung finden, wenn um die Erlaubnis auf Grund einer Realgewerbeberechtigung für ein Grundstück nachgesucht wird, auf welchem die Erlaubnis auf Grund dieser Realgewerbeberechtigung bisher nicht ausgeübt wurde.</w:t>
      </w:r>
    </w:p>
    <w:p>
      <w:r>
        <w:rPr>
          <w:color w:val="555555"/>
          <w:sz w:val="17"/>
        </w:rPr>
        <w:t xml:space="preserve">Zitiervorschlag: § 24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