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GastG — Auskunft und Nachschau</w:t>
      </w:r>
    </w:p>
    <w:p>
      <w:r>
        <w:rPr>
          <w:color w:val="555555"/>
          <w:sz w:val="18"/>
        </w:rPr>
        <w:t xml:space="preserve">Gaststättengesetz</w:t>
      </w:r>
    </w:p>
    <w:p>
      <w:r>
        <w:rPr>
          <w:color w:val="555555"/>
          <w:sz w:val="18"/>
        </w:rPr>
        <w:t xml:space="preserve">Stand: 10.06.2019 (konsolidierte Textfassung, kein amtliches Inkrafttretensdatum)</w:t>
      </w:r>
    </w:p>
    <w:p>
      <w:r>
        <w:t xml:space="preserve">(1) Die Inhaber von Gaststättenbetrieben, ihre Stellvertreter und die mit der Leitung des Betriebes beauftragten Personen haben den zuständigen Behörden die für die Durchführung dieses Gesetzes und der auf Grund dieses Gesetzes erlassenen Rechtsverordnungen erforderlichen Auskünfte zu erteilen.</w:t>
      </w:r>
    </w:p>
    <w:p>
      <w:r>
        <w:t xml:space="preserve">(2) Die von der zuständigen Behörde mit der Überwachung des Betriebes beauftragten Personen sind befugt, Grundstücke und Geschäftsräume des Auskunftspflichtigen zu betreten, dort Prüfungen und Besichtigungen vorzunehmen und in die geschäftlichen Unterlagen des Auskunftspflichtigen Einsicht zu nehmen. Der Auskunftspflichtige hat die Maßnahmen nach Satz 1 zu dulden. Das Grundrecht der Unverletzlichkeit der Wohnung (Artikel 13 des Grundgesetzes) wird insoweit eingeschränkt.</w:t>
      </w:r>
    </w:p>
    <w:p>
      <w:r>
        <w:t xml:space="preserve">(3) Der zur Erteilung einer Auskunft Verpflichtete kann die Auskunft auf solche Fragen verweigern, deren Beantwortung ihn selbst oder einen der in § 383 Abs. 1 Nr. 1 bis 3 der Zivilprozeßordnung bezeichneten Angehörigen der Gefahr strafgerichtlicher Verfolgung oder eines Verfahrens nach dem Gesetz über Ordnungswidrigkeiten aussetzen würde.</w:t>
      </w:r>
    </w:p>
    <w:p>
      <w:r>
        <w:rPr>
          <w:color w:val="555555"/>
          <w:sz w:val="17"/>
        </w:rPr>
        <w:t xml:space="preserve">Zitiervorschlag: § 22 GastG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https://recht.nulegal.eu/gesetze/GastG/22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