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21 GastG — Beschäftigte Personen</w:t>
      </w:r>
    </w:p>
    <w:p>
      <w:r>
        <w:rPr>
          <w:color w:val="555555"/>
          <w:sz w:val="18"/>
        </w:rPr>
        <w:t xml:space="preserve">Gaststättengesetz</w:t>
      </w:r>
    </w:p>
    <w:p>
      <w:r>
        <w:rPr>
          <w:color w:val="555555"/>
          <w:sz w:val="18"/>
        </w:rPr>
        <w:t xml:space="preserve">Stand: 10.06.2019 (konsolidierte Textfassung, kein amtliches Inkrafttretensdatum)</w:t>
      </w:r>
    </w:p>
    <w:p>
      <w:r>
        <w:t xml:space="preserve">(1) Die Beschäftigung einer Person in einem Gaststättenbetrieb kann dem Gewerbetreibenden untersagt werden, wenn Tatsachen die Annahme rechtfertigen, daß die Person die für ihre Tätigkeit erforderliche Zuverlässigkeit nicht besitzt.</w:t>
      </w:r>
    </w:p>
    <w:p>
      <w:r>
        <w:t xml:space="preserve">(2) Die Landesregierungen können zur Aufrechterhaltung der Sittlichkeit oder zum Schutze der Gäste durch Rechtsverordnung Vorschriften über die Zulassung, das Verhalten und die Art der Tätigkeit sowie, soweit tarifvertragliche Regelungen nicht bestehen, die Art der Entlohnung der in Gaststättenbetrieben Beschäftigten erlassen. Die Landesregierungen können durch Rechtsverordnung die Ermächtigung auf oberste Landesbehörden übertragen.</w:t>
      </w:r>
    </w:p>
    <w:p>
      <w:r>
        <w:t xml:space="preserve">(3) Die Vorschriften des § 26 des Jugendarbeitsschutzgesetzes bleiben unberührt.</w:t>
      </w:r>
    </w:p>
    <w:p>
      <w:r>
        <w:rPr>
          <w:color w:val="555555"/>
          <w:sz w:val="17"/>
        </w:rPr>
        <w:t xml:space="preserve">Zitiervorschlag: § 21 GastG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https://recht.nulegal.eu/gesetze/GastG/21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