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GastG — Gestattung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besonderem Anlaß kann der Betrieb eines erlaubnisbedürftigen Gaststättengewerbes unter erleichterten Voraussetzungen vorübergehend auf Widerruf gestattet werden.</w:t>
      </w:r>
    </w:p>
    <w:p>
      <w:r>
        <w:t xml:space="preserve">(2) (weggefallen)</w:t>
      </w:r>
    </w:p>
    <w:p>
      <w:r>
        <w:t xml:space="preserve">(3) Dem Gewerbetreibenden können jederzeit Auflagen erteilt werden.</w:t>
      </w:r>
    </w:p>
    <w:p>
      <w:r>
        <w:rPr>
          <w:color w:val="555555"/>
          <w:sz w:val="17"/>
        </w:rPr>
        <w:t xml:space="preserve">Zitiervorschlag: § 12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https://recht.nulegal.eu/gesetze/GastG/12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