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GasgeräteDG — Richtwert für Stichproben bei der Marktüberwachung</w:t>
      </w:r>
    </w:p>
    <w:p>
      <w:r>
        <w:rPr>
          <w:color w:val="555555"/>
          <w:sz w:val="18"/>
        </w:rPr>
        <w:t xml:space="preserve">Gasgerätedurchführungsgesetz</w:t>
      </w:r>
    </w:p>
    <w:p>
      <w:r>
        <w:rPr>
          <w:color w:val="555555"/>
          <w:sz w:val="18"/>
        </w:rPr>
        <w:t xml:space="preserve">Stand: 29.05.2026 (konsolidierte Textfassung, kein amtliches Inkrafttretensdatum)</w:t>
      </w:r>
    </w:p>
    <w:p>
      <w:r>
        <w:t xml:space="preserve">Die Marktüberwachungsbehörden kontrollieren anhand angemessener Stichproben auf geeignete Art und Weise und in angemessenem Umfang, ob die Geräte und Ausrüstungen die Anforderungen der Verordnung (EU) 2016/426 in der Fassung vom 9. Oktober 2024 erfüllen. Diese Stichproben bilden eine Teilmenge des Richtwerts nach § 25 Absatz 2 des Produktsicherheitsgesetzes.</w:t>
      </w:r>
    </w:p>
    <w:p>
      <w:r>
        <w:rPr>
          <w:color w:val="555555"/>
          <w:sz w:val="17"/>
        </w:rPr>
        <w:t xml:space="preserve">Zitiervorschlag: § 2 GasgeräteDG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https://recht.nulegal.eu/gesetze/Gasger%C3%A4teDG/2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