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GasSpFüllstV 2025 — Außerkrafttreten</w:t>
      </w:r>
    </w:p>
    <w:p>
      <w:r>
        <w:rPr>
          <w:color w:val="555555"/>
          <w:sz w:val="18"/>
        </w:rPr>
        <w:t xml:space="preserve">Gasspeicherfüllstandsverordnung</w:t>
      </w:r>
    </w:p>
    <w:p>
      <w:r>
        <w:rPr>
          <w:color w:val="555555"/>
          <w:sz w:val="18"/>
        </w:rPr>
        <w:t xml:space="preserve">Stand: 06.05.2025 (konsolidierte Textfassung, kein amtliches Inkrafttretensdatum)</w:t>
      </w:r>
    </w:p>
    <w:p>
      <w:r>
        <w:t xml:space="preserve">Diese Verordnung tritt mit Ablauf des 31. März 2027 außer Kraft.</w:t>
      </w:r>
    </w:p>
    <w:p>
      <w:r>
        <w:rPr>
          <w:color w:val="555555"/>
          <w:sz w:val="17"/>
        </w:rPr>
        <w:t xml:space="preserve">Zitiervorschlag: § 2 GasSpFüllstV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https://recht.nulegal.eu/gesetze/GasSpF%C3%BCllstV%202025/2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