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GasSpBefüllV</w:t>
      </w:r>
    </w:p>
    <w:p>
      <w:r>
        <w:rPr>
          <w:color w:val="555555"/>
          <w:sz w:val="18"/>
        </w:rPr>
        <w:t xml:space="preserve">Gasspeicherbefüllungsverordnung</w:t>
      </w:r>
    </w:p>
    <w:p>
      <w:r>
        <w:rPr>
          <w:color w:val="555555"/>
          <w:sz w:val="18"/>
        </w:rPr>
        <w:t xml:space="preserve">Historische Fassung: Stand 02.06.2022 bis 13.04.2025. Dies ist nicht die aktuelle Fassung.</w:t>
      </w:r>
    </w:p>
    <w:p>
      <w:r>
        <w:t xml:space="preserve">Auf Grund des § 35b Absatz 3 und 7 des Energiewirtschaftsgesetzes, der durch Artikel 1 Nummer 3 des Gesetzes vom 26. April 2022 (BGBl. I S. 674) eingefügt worden ist, verordnet das Bundesministerium für Wirtschaft und Klimaschutz:</w:t>
      </w:r>
    </w:p>
    <w:p>
      <w:r>
        <w:rPr>
          <w:color w:val="555555"/>
          <w:sz w:val="17"/>
        </w:rPr>
        <w:t xml:space="preserve">Zitiervorschlag: Eingangsformel GasSpBefüllV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https://recht.nulegal.eu/gesetze/GasSpBef%C3%BCllV/eingangsformel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