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GasSpBefüllV — Referenzzeitpunkte für die Gefahr des Verfehlens der Füllstandsvorgaben</w:t>
      </w:r>
    </w:p>
    <w:p>
      <w:r>
        <w:rPr>
          <w:color w:val="555555"/>
          <w:sz w:val="18"/>
        </w:rPr>
        <w:t xml:space="preserve">Gasspeicherbefüllungsverordnung</w:t>
      </w:r>
    </w:p>
    <w:p>
      <w:r>
        <w:rPr>
          <w:color w:val="555555"/>
          <w:sz w:val="18"/>
        </w:rPr>
        <w:t xml:space="preserve">Historische Fassung: Stand 02.06.2022 bis 13.04.2025. Dies ist nicht die aktuelle Fassung.</w:t>
      </w:r>
    </w:p>
    <w:p>
      <w:r>
        <w:t xml:space="preserve">Die Gefahr des Verfehlens der Füllstandsvorgaben im Sinne von § 1 besteht, wenn eine Gasspeicheranlage zum 1. Mai eines Kalenderjahres einen Füllstand von unterhalb 5 Prozent oder zum 1. Juni eines Kalenderjahres von unterhalb 10 Prozent der Gesamtkapazität der Gasspeicheranlage aufweist. Abweichend hiervon besteht für das Jahr 2022 die Gefahr des Verfehlens der Füllstandsvorgaben nach § 35b Absatz 1 Satz 2 des Energiewirtschaftsgesetzes, wenn eine Gasspeicheranlage am 2. Juni 2022 einen Füllstand von unterhalb 10 Prozent der Gesamtkapazität der Gasspeicheranlage aufweist. § 35b Absatz 2 des Energiewirtschaftsgesetzes bleibt unberührt.</w:t>
      </w:r>
    </w:p>
    <w:p>
      <w:r>
        <w:rPr>
          <w:color w:val="555555"/>
          <w:sz w:val="17"/>
        </w:rPr>
        <w:t xml:space="preserve">Zitiervorschlag: § 2 GasSpBefüllV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https://recht.nulegal.eu/gesetze/GasSpBef%C3%BCllV/2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