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GasSV</w:t>
      </w:r>
    </w:p>
    <w:p>
      <w:r>
        <w:rPr>
          <w:color w:val="555555"/>
          <w:sz w:val="18"/>
        </w:rPr>
        <w:t xml:space="preserve">Gassicherungsverordnung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 Abs. 1 und 3, des § 2 Abs. 3, des § 3 Abs. 1 und 3 sowie des § 16 Nr. 2 Buchstabe a des Energiesicherungsgesetzes 1975 vom 20. Dezember 1974 (BGBl. I S. 3681), das durch Gesetz vom 19. Dezember 1979 (BGBl. I S. 2305) zuletzt geändert worden ist, verordnet die Bundesregierung mit Zustimmung des Bundesrates:</w:t>
      </w:r>
    </w:p>
    <w:p>
      <w:r>
        <w:rPr>
          <w:color w:val="555555"/>
          <w:sz w:val="17"/>
        </w:rPr>
        <w:t xml:space="preserve">Zitiervorschlag: Eingangsformel GasSV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https://recht.nulegal.eu/gesetze/GasSV/eingangsformel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