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GasSV — Inkrafttreten und Anwendbarkeit der Verordnung</w:t>
      </w:r>
    </w:p>
    <w:p>
      <w:r>
        <w:rPr>
          <w:color w:val="555555"/>
          <w:sz w:val="18"/>
        </w:rPr>
        <w:t xml:space="preserve">Gassicherungsverordnung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Sie darf mit Ausnahme der §§ 1a, 2 Absatz 2 und § 5 sowie ab dem 5. April 2023 § 4 Absatz 2 Nummer 1 bis 4 und Nummer 6 erst dann angewandt werden, wenn die Bundesregierung</w:t>
      </w:r>
    </w:p>
    <w:p>
      <w:pPr>
        <w:ind w:left="420"/>
      </w:pPr>
      <w:r>
        <w:t xml:space="preserve">1. durch Verordnung festgestellt hat, daß die Energieversorgung im Sinne des § 1 Absatz 1, des § 2 Absatz 3 oder des § 2a Absatz 1 des Energiesicherungsgesetzes gefährdet oder gestört ist, und</w:t>
      </w:r>
    </w:p>
    <w:p>
      <w:pPr>
        <w:ind w:left="420"/>
      </w:pPr>
      <w:r>
        <w:t xml:space="preserve">2. die Anwendbarkeit durch Verordnung bestimmt.</w:t>
      </w:r>
    </w:p>
    <w:p>
      <w:r>
        <w:t xml:space="preserve">In Fällen des § 2a des Energiesicherungsgesetzes tritt an die Stelle der in Satz 1 genannten Feststellung die Mitteilung des Bundesministeriums für Wirtschaft und Energie nach § 3 Absatz 6 Satz 1 Nummer 2 des Energiesicherungsgesetzes.</w:t>
      </w:r>
    </w:p>
    <w:p>
      <w:r>
        <w:rPr>
          <w:color w:val="555555"/>
          <w:sz w:val="17"/>
        </w:rPr>
        <w:t xml:space="preserve">Zitiervorschlag: § 7 GasSV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