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GasSV — Verwaltungsbehörde</w:t>
      </w:r>
    </w:p>
    <w:p>
      <w:r>
        <w:rPr>
          <w:color w:val="555555"/>
          <w:sz w:val="18"/>
        </w:rPr>
        <w:t xml:space="preserve">Gassicherungsverordnung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Verwaltungsbehörde im Sinne des § 16 Nr. 2 Buchstabe a des Energiesicherungsgesetzes ist die Bundesnetzagentur für Elektrizität, Gas, Telekommunikation, Post und Eisenbahnen.</w:t>
      </w:r>
    </w:p>
    <w:p>
      <w:r>
        <w:rPr>
          <w:color w:val="555555"/>
          <w:sz w:val="17"/>
        </w:rPr>
        <w:t xml:space="preserve">Zitiervorschlag: § 5 GasSV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https://recht.nulegal.eu/gesetze/GasSV/5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