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GasPrAnpV</w:t>
      </w:r>
    </w:p>
    <w:p>
      <w:r>
        <w:rPr>
          <w:color w:val="555555"/>
          <w:sz w:val="18"/>
        </w:rPr>
        <w:t xml:space="preserve">Gaspreisanpassungsverordnung</w:t>
      </w:r>
    </w:p>
    <w:p>
      <w:r>
        <w:rPr>
          <w:color w:val="555555"/>
          <w:sz w:val="18"/>
        </w:rPr>
        <w:t xml:space="preserve">Historische Fassung: Stand 10.08.2022 bis 05.10.2022. Dies ist nicht die aktuelle Fassung.</w:t>
      </w:r>
    </w:p>
    <w:p>
      <w:r>
        <w:t xml:space="preserve">Auf Grund des § 26 Absatz 1 in Verbindung mit den Absätzen 2, 3 und 7 des Energiesicherungsgesetzes vom 20. Dezember 1974 (BGBl. I S. 3681), der durch Artikel 4 Nummer 9 des Gesetzes vom 8. Juli 2022 (BGBl. I S. 1054) eingefügt worden ist, verordnet die Bundesregierung:</w:t>
      </w:r>
    </w:p>
    <w:p>
      <w:r>
        <w:rPr>
          <w:color w:val="555555"/>
          <w:sz w:val="17"/>
        </w:rPr>
        <w:t xml:space="preserve">Zitiervorschlag: Eingangsformel GasPrAnpV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https://recht.nulegal.eu/gesetze/GasPrAnpV/eingangsformel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