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GasPrAnpV — Transparenz</w:t>
      </w:r>
    </w:p>
    <w:p>
      <w:r>
        <w:rPr>
          <w:color w:val="555555"/>
          <w:sz w:val="18"/>
        </w:rPr>
        <w:t xml:space="preserve">Gaspreisanpassungsverordnung</w:t>
      </w:r>
    </w:p>
    <w:p>
      <w:r>
        <w:rPr>
          <w:color w:val="555555"/>
          <w:sz w:val="18"/>
        </w:rPr>
        <w:t xml:space="preserve">Historische Fassung: Stand 10.08.2022 bis 05.10.2022. Dies ist nicht die aktuelle Fassung.</w:t>
      </w:r>
    </w:p>
    <w:p>
      <w:r>
        <w:t xml:space="preserve">Der Marktgebietsverantwortliche ist verpflichtet, die folgenden Angaben unter Wahrung von Geschäftsgeheimnissen auf seiner Internetseite monatlich zu veröffentlichen:</w:t>
      </w:r>
    </w:p>
    <w:p>
      <w:pPr>
        <w:ind w:left="420"/>
      </w:pPr>
      <w:r>
        <w:t xml:space="preserve">1. die Gasbeschaffungsumlage in Cent je Kilowattstunde,</w:t>
      </w:r>
    </w:p>
    <w:p>
      <w:pPr>
        <w:ind w:left="420"/>
      </w:pPr>
      <w:r>
        <w:t xml:space="preserve">2. die Berechnungsgrundlage und -systematik zur Prognose der Gasbeschaffungsumlage einschließlich der Methodik zur Ermittlung der Ausschüttungen,</w:t>
      </w:r>
    </w:p>
    <w:p>
      <w:pPr>
        <w:ind w:left="420"/>
      </w:pPr>
      <w:r>
        <w:t xml:space="preserve">3. das Gesamtaufkommen der Gasbeschaffungsumlage,</w:t>
      </w:r>
    </w:p>
    <w:p>
      <w:pPr>
        <w:ind w:left="420"/>
      </w:pPr>
      <w:r>
        <w:t xml:space="preserve">4. die aggregierten Prognosewerte für den laufenden Abrechnungsmonat und</w:t>
      </w:r>
    </w:p>
    <w:p>
      <w:pPr>
        <w:ind w:left="420"/>
      </w:pPr>
      <w:r>
        <w:t xml:space="preserve">5. den monatlichen Saldo des Umlagekontos, sobald alle für die Veröffentlichung erforderlichen endgültigen Werte für den betreffenden Monat vorliegen.</w:t>
      </w:r>
    </w:p>
    <w:p>
      <w:r>
        <w:rPr>
          <w:color w:val="555555"/>
          <w:sz w:val="17"/>
        </w:rPr>
        <w:t xml:space="preserve">Zitiervorschlag: § 7 GasPrAnpV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https://recht.nulegal.eu/gesetze/GasPrAnpV/7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