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GasPrAnpV — Erhebung der Gasbeschaffungsumlage</w:t>
      </w:r>
    </w:p>
    <w:p>
      <w:r>
        <w:rPr>
          <w:color w:val="555555"/>
          <w:sz w:val="18"/>
        </w:rPr>
        <w:t xml:space="preserve">Gaspreisanpassungsverordnung</w:t>
      </w:r>
    </w:p>
    <w:p>
      <w:r>
        <w:rPr>
          <w:color w:val="555555"/>
          <w:sz w:val="18"/>
        </w:rPr>
        <w:t xml:space="preserve">Historische Fassung: Stand 10.08.2022 bis 05.10.2022. Dies ist nicht die aktuelle Fassung.</w:t>
      </w:r>
    </w:p>
    <w:p>
      <w:r>
        <w:t xml:space="preserve">(1) Der Marktgebietsverantwortliche ist berechtigt, ab dem 1. Oktober 2022 die Kosten, die im Zusammenhang mit der Zahlung des Ausgleichs nach § 2 entstehen, auf die Bilanzkreisverantwortlichen im Marktgebiet im Sinne des § 2 Nummer 5 der Gasnetzzugangsverordnung vom 3. September 2010 (BGBl. I S. 1261), die zuletzt durch Artikel 8 des Gesetzes vom 16. Juli 2021 (BGBl. I S. 3026) geändert worden ist, als Gasbeschaffungsumlage umzulegen.</w:t>
      </w:r>
    </w:p>
    <w:p>
      <w:r>
        <w:t xml:space="preserve">(2) Die Gasbeschaffungsumlage wird auf die täglich aus einem Bilanzkreis physisch ausgespeisten Gasmengen für Entnahmestellen mit registrierender Leistungsmessung und für Entnahmestellen mit Standardlastprofilen nach § 24 Absatz 1 der Gasnetzzugangsverordnung erhoben.</w:t>
      </w:r>
    </w:p>
    <w:p>
      <w:r>
        <w:rPr>
          <w:color w:val="555555"/>
          <w:sz w:val="17"/>
        </w:rPr>
        <w:t xml:space="preserve">Zitiervorschlag: § 3 GasPrAnpV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https://recht.nulegal.eu/gesetze/GasPrAnpV/3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