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GasPrAnpV — Finanzieller Ausgleich durch saldierte Preisanpassung</w:t>
      </w:r>
    </w:p>
    <w:p>
      <w:r>
        <w:rPr>
          <w:color w:val="555555"/>
          <w:sz w:val="18"/>
        </w:rPr>
        <w:t xml:space="preserve">Gaspreisanpassungsverordnung</w:t>
      </w:r>
    </w:p>
    <w:p>
      <w:r>
        <w:rPr>
          <w:color w:val="555555"/>
          <w:sz w:val="18"/>
        </w:rPr>
        <w:t xml:space="preserve">Historische Fassung: Stand 10.08.2022 bis 05.10.2022. Dies ist nicht die aktuelle Fassung.</w:t>
      </w:r>
    </w:p>
    <w:p>
      <w:r>
        <w:t xml:space="preserve">(1) An die Stelle der Preisanpassungsrechte nach § 24 Absatz 1 Satz 3 des Energiesicherungsgesetzes vom 20. Dezember 1974 (BGBl. I S. 3681), das zuletzt durch Artikel 4 des Gesetzes vom 8. Juli 2022 (BGBl. I S. 1054) geändert worden ist, tritt ein finanzieller Ausgleich nach Maßgabe dieser Verordnung, der durch eine saldierte Preisanpassung finanziert wird (Gasbeschaffungsumlage).</w:t>
      </w:r>
    </w:p>
    <w:p>
      <w:r>
        <w:t xml:space="preserve">(2) Der Zeitraum, in dem eine saldierte Preisanpassung nach dieser Verordnung vorzunehmen ist, ist die Saldierungsperiode. Die Saldierungsperiode beginnt am 1. Oktober 2022, 6 Uhr, und endet am 1. April 2024, 6 Uhr.</w:t>
      </w:r>
    </w:p>
    <w:p>
      <w:r>
        <w:rPr>
          <w:color w:val="555555"/>
          <w:sz w:val="17"/>
        </w:rPr>
        <w:t xml:space="preserve">Zitiervorschlag: § 1 GasPrAnpV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https://recht.nulegal.eu/gesetze/GasPrAnpV/1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