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GasNZV 2010 — Ordnungswidrigkeiten</w:t>
      </w:r>
    </w:p>
    <w:p>
      <w:r>
        <w:rPr>
          <w:color w:val="555555"/>
          <w:sz w:val="18"/>
        </w:rPr>
        <w:t xml:space="preserve">Gasnetzzugangsverordnung</w:t>
      </w:r>
    </w:p>
    <w:p>
      <w:r>
        <w:rPr>
          <w:color w:val="555555"/>
          <w:sz w:val="18"/>
        </w:rPr>
        <w:t xml:space="preserve">Historische Fassung: Stand 04.01.2024 bis 01.01.2026. Dies ist nicht die aktuelle Fassung.</w:t>
      </w:r>
    </w:p>
    <w:p>
      <w:r>
        <w:t xml:space="preserve">(1) Ordnungswidrig im Sinne des § 95 Absatz 1 Nummer 5 Buchstabe a des Energiewirtschaftsgesetzes handelt, wer vorsätzlich oder fahrlässig</w:t>
      </w:r>
    </w:p>
    <w:p>
      <w:pPr>
        <w:ind w:left="420"/>
      </w:pPr>
      <w:r>
        <w:t xml:space="preserve">1. entgegen § 9 Absatz 2 Satz 3 oder Absatz 3 Satz 5 nicht zusammenarbeitet,</w:t>
      </w:r>
    </w:p>
    <w:p>
      <w:pPr>
        <w:ind w:left="420"/>
      </w:pPr>
      <w:r>
        <w:t xml:space="preserve">2. entgegen § 9 Absatz 2 Satz 4 oder § 26 Absatz 1 eine Information nicht oder nicht rechtzeitig zur Verfügung stellt,</w:t>
      </w:r>
    </w:p>
    <w:p>
      <w:pPr>
        <w:ind w:left="420"/>
      </w:pPr>
      <w:r>
        <w:t xml:space="preserve">3. entgegen § 33 Absatz 2 Satz 1 die Verfügbarkeit des Netzanschlusses nicht sicherstellt,</w:t>
      </w:r>
    </w:p>
    <w:p>
      <w:pPr>
        <w:ind w:left="420"/>
      </w:pPr>
      <w:r>
        <w:t xml:space="preserve">4. entgegen § 33 Absatz 4 Satz 1 eine dort genannte Angabe nicht, nicht richtig, nicht vollständig oder nicht rechtzeitig darlegt,</w:t>
      </w:r>
    </w:p>
    <w:p>
      <w:pPr>
        <w:ind w:left="420"/>
      </w:pPr>
      <w:r>
        <w:t xml:space="preserve">5. entgegen § 33 Absatz 4 Satz 2 eine Angabe nicht oder nicht rechtzeitig anfordert,</w:t>
      </w:r>
    </w:p>
    <w:p>
      <w:pPr>
        <w:ind w:left="420"/>
      </w:pPr>
      <w:r>
        <w:t xml:space="preserve">6. entgegen § 33 Absatz 5 Satz 4 eine Mitteilung nicht, nicht richtig, nicht vollständig oder nicht rechtzeitig macht,</w:t>
      </w:r>
    </w:p>
    <w:p>
      <w:pPr>
        <w:ind w:left="420"/>
      </w:pPr>
      <w:r>
        <w:t xml:space="preserve">7. entgegen § 33 Absatz 6 Satz 3 ein Vertragsangebot nicht oder nicht rechtzeitig vorlegt oder</w:t>
      </w:r>
    </w:p>
    <w:p>
      <w:pPr>
        <w:ind w:left="420"/>
      </w:pPr>
      <w:r>
        <w:t xml:space="preserve">8. einer vollziehbaren Anordnung nach § 50 Absatz 5 zuwiderhandelt.</w:t>
      </w:r>
    </w:p>
    <w:p>
      <w:r>
        <w:t xml:space="preserve">(2) Ordnungswidrig im Sinne des § 95 Absatz 1 Nummer 5 Buchstabe b des Energiewirtschaftsgesetzes handelt, wer vorsätzlich oder fahrlässig einer vollziehbaren Anordnung nach § 50 Absatz 1, 2, 3 Satz 1 oder Satz 2, Absatz 4 Satz 1 oder Satz 2, Absatz 7 oder Absatz 8 zuwiderhandelt.</w:t>
      </w:r>
    </w:p>
    <w:p>
      <w:r>
        <w:rPr>
          <w:color w:val="555555"/>
          <w:sz w:val="17"/>
        </w:rPr>
        <w:t xml:space="preserve">Zitiervorschlag: § 51 GasNZV 2010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https://recht.nulegal.eu/gesetze/GasNZV%202010/51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