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GasNZV 2010 — Festlegungen</w:t>
      </w:r>
    </w:p>
    <w:p>
      <w:r>
        <w:rPr>
          <w:color w:val="555555"/>
          <w:sz w:val="18"/>
        </w:rPr>
        <w:t xml:space="preserve">Gasnetzzugangsverordnung</w:t>
      </w:r>
    </w:p>
    <w:p>
      <w:r>
        <w:rPr>
          <w:color w:val="555555"/>
          <w:sz w:val="18"/>
        </w:rPr>
        <w:t xml:space="preserve">Historische Fassung: Stand 04.01.2024 bis 01.01.2026. Dies ist nicht die aktuelle Fassung.</w:t>
      </w:r>
    </w:p>
    <w:p>
      <w:r>
        <w:t xml:space="preserve">(1) Zur Verwirklichung eines effizienten Netzzugangs und der in § 1 Absatz 1 des Energiewirtschaftsgesetzes genannten Zwecke kann die Regulierungsbehörde unter Beachtung der Anforderungen eines sicheren Netzbetriebs Entscheidungen durch Festlegungen nach § 29 Absatz 1 des Energiewirtschaftsgesetzes treffen:</w:t>
      </w:r>
    </w:p>
    <w:p>
      <w:pPr>
        <w:ind w:left="420"/>
      </w:pPr>
      <w:r>
        <w:t xml:space="preserve">1. zu den Verträgen nach den §§ 3, 7 und 33 sowie den Geschäftsbedingungen nach § 3 Absatz 6, den §§ 4 und 23c Absatz 4 Nummer 8 des Energiewirtschaftsgesetzes, sofern nicht ein Standardangebot angewendet wird;</w:t>
      </w:r>
    </w:p>
    <w:p>
      <w:pPr>
        <w:ind w:left="420"/>
      </w:pPr>
      <w:r>
        <w:t xml:space="preserve">2. zu den Voraussetzungen und Grenzen für technische Ausspeisemeldungen nach § 8 Absatz 5;</w:t>
      </w:r>
    </w:p>
    <w:p>
      <w:pPr>
        <w:ind w:left="420"/>
      </w:pPr>
      <w:r>
        <w:t xml:space="preserve">3. zu Verfahren und Anforderungen an eine Registrierung des Transportkunden beim Netzbetreiber oder des Bilanzkreisverantwortlichen beim Marktgebietsverantwortlichen nach § 6, insbesondere zu Fristen, die bei der Registrierung einzuhalten sind, soweit dies erforderlich ist, um die Diskriminierungsfreiheit der Registrierung zu gewährleisten;</w:t>
      </w:r>
    </w:p>
    <w:p>
      <w:pPr>
        <w:ind w:left="420"/>
      </w:pPr>
      <w:r>
        <w:t xml:space="preserve">4. zu Ermittlung und Angebot von Kapazitäten nach § 9, insbesondere zum Verfahren zur Beschaffung von Maßnahmen nach § 9 Absatz 3 Satz 2 Nummer 1 bis 3, sowie zu Kapazitätsprodukten nach § 11;</w:t>
      </w:r>
    </w:p>
    <w:p>
      <w:pPr>
        <w:ind w:left="420"/>
      </w:pPr>
      <w:r>
        <w:t xml:space="preserve">5. (weggefallen)</w:t>
      </w:r>
    </w:p>
    <w:p>
      <w:pPr>
        <w:ind w:left="420"/>
      </w:pPr>
      <w:r>
        <w:t xml:space="preserve">6. zu den Kapazitätsbuchungsplattformen nach § 12; sie kann insbesondere festlegen, dass ein Anteil kurzfristiger Kapazitäten in anderer Weise, insbesondere durch implizite Auktionen, zugewiesen werden kann, wenn dies erforderlich ist, um insbesondere durch eine Kopplung der Märkte die Liquidität des Gasmarktes zu erhöhen;</w:t>
      </w:r>
    </w:p>
    <w:p>
      <w:pPr>
        <w:ind w:left="420"/>
      </w:pPr>
      <w:r>
        <w:t xml:space="preserve">7. zum Verfahren für die Beschaffung, den Einsatz und die Abrechnung von Regelenergie nach Teil 5 Abschnitt 2 dieser Verordnung, insbesondere zu den Mindestangebotsgrößen, Ausschreibungszeiträumen, und den einheitlichen Bedingungen, die Anbieter von Regelenergie erfüllen müssen;</w:t>
      </w:r>
    </w:p>
    <w:p>
      <w:pPr>
        <w:ind w:left="420"/>
      </w:pPr>
      <w:r>
        <w:t xml:space="preserve">8. zum System und der Beschaffenheit des Netzanschlusses von Anlagen zur Aufbereitung von Biogas an das Gasversorgungsnetz, der Einspeisung von Biogas in das Erdgasnetz, zur Vereinheitlichung von technischen Anforderungen für Anlagen und Netzanschluss, einschließlich Abweichungen von den Vorgaben in § 36 Absatz 1, der Arbeitsblätter G 260, G 262 und G 685 des Deutschen Vereins des Gas- und Wasserfachs e. V. (Stand 2007) sowie des Netzzugangs und der Bilanzierung von Transportkunden von Biogas;</w:t>
      </w:r>
    </w:p>
    <w:p>
      <w:pPr>
        <w:ind w:left="420"/>
      </w:pPr>
      <w:r>
        <w:t xml:space="preserve">9. zum Bilanzierungssystem nach Teil 5 Abschnitt 1 dieser Verordnung, um berechtigte Bedürfnisse des Marktes angemessen zu berücksichtigen, sowie insbesondere zu einer von § 23 Absatz 2 Satz 2 abweichenden Bemessung der Toleranzmenge, zu den Anforderungen an und den zu verwendenden Datenformaten für den Informationsaustausch im Rahmen der Bilanzierung, zu Inhalten sowie den Fristen im Zusammenhang mit der Datenübermittlung und zu den Methoden, nach denen die Entgelte nach § 23 Absatz 2 Satz 3 gebildet werden; sie hat dabei zu beachten, dass ein Bilanzausgleichssystem einen effizienten Netzzugang ermöglicht und, soweit erforderlich, auch Anreize gegen eine missbräuchliche Nutzung der Bilanzausgleichsdienstleistungen enthalten soll;</w:t>
      </w:r>
    </w:p>
    <w:p>
      <w:pPr>
        <w:ind w:left="420"/>
      </w:pPr>
      <w:r>
        <w:t xml:space="preserve">10. zu Entgelten und Gebühren für die Nutzung des Virtuellen Handelspunkts in Abweichung von § 22 Absatz 1 Satz 6;</w:t>
      </w:r>
    </w:p>
    <w:p>
      <w:pPr>
        <w:ind w:left="420"/>
      </w:pPr>
      <w:r>
        <w:t xml:space="preserve">11. zu Anreizen und Pönalen für die Transportkunden, soweit dies zur Durchsetzung der Verpflichtung der Transportkunden zum Angebot von Kapazitäten auf dem Sekundärmarkt oder zum Zurverfügungstellen von Kapazitäten an den Fernleitungsnetzbetreiber nach § 16 Absatz 1 erforderlich ist;</w:t>
      </w:r>
    </w:p>
    <w:p>
      <w:pPr>
        <w:ind w:left="420"/>
      </w:pPr>
      <w:r>
        <w:t xml:space="preserve">12. zur Vereinheitlichung des Nominierungsverfahrens nach § 15; insbesondere kann sie Festlegungen treffen zum Zeitpunkt, bis zu dem eine Nominierung erfolgen muss, und zum Umfang der Möglichkeiten für nachträgliche Änderungen der Nominierung;</w:t>
      </w:r>
    </w:p>
    <w:p>
      <w:pPr>
        <w:ind w:left="420"/>
      </w:pPr>
      <w:r>
        <w:t xml:space="preserve">13. (weggefallen)</w:t>
      </w:r>
    </w:p>
    <w:p>
      <w:pPr>
        <w:ind w:left="420"/>
      </w:pPr>
      <w:r>
        <w:t xml:space="preserve">14. zur Abwicklung des Lieferantenwechsels nach § 41, insbesondere zu den Anforderungen und dem Format des elektronischen Datenaustauschs;</w:t>
      </w:r>
    </w:p>
    <w:p>
      <w:pPr>
        <w:ind w:left="420"/>
      </w:pPr>
      <w:r>
        <w:t xml:space="preserve">15. zu den Kriterien für die Identifizierung von Entnahmestellen; hierbei kann sie von § 41 Absatz 3 abweichen;</w:t>
      </w:r>
    </w:p>
    <w:p>
      <w:pPr>
        <w:ind w:left="420"/>
      </w:pPr>
      <w:r>
        <w:t xml:space="preserve">16. zur Verwaltung und Übermittlung der Stammdaten, die für den massengeschäftstauglichen Netzzugang relevant sind;</w:t>
      </w:r>
    </w:p>
    <w:p>
      <w:pPr>
        <w:ind w:left="420"/>
      </w:pPr>
      <w:r>
        <w:t xml:space="preserve">17. zur Abwicklung der Netznutzung bei Lieferbeginn und Lieferende;</w:t>
      </w:r>
    </w:p>
    <w:p>
      <w:pPr>
        <w:ind w:left="420"/>
      </w:pPr>
      <w:r>
        <w:t xml:space="preserve">18. zu bundeseinheitlichen Regelungen zum Datenaustausch zwischen den betroffenen Marktbeteiligten, insbesondere zu Fristen und Formaten sowie zu Prozessen, die eine größtmögliche Automatisierung ermöglichen;</w:t>
      </w:r>
    </w:p>
    <w:p>
      <w:pPr>
        <w:ind w:left="420"/>
      </w:pPr>
      <w:r>
        <w:t xml:space="preserve">19. zu den Voraussetzungen, dem Verfahren und der näheren Ausgestaltung eines Übernominierungsverfahrens für die Zuweisung unterbrechbarer untertägiger Kapazitäten;</w:t>
      </w:r>
    </w:p>
    <w:p>
      <w:pPr>
        <w:ind w:left="420"/>
      </w:pPr>
      <w:r>
        <w:t xml:space="preserve">20. zur Einrichtung von virtuellen Kopplungspunkten sowie der näheren Ausgestaltung des Netzzugangs an virtuellen Kopplungspunkten.</w:t>
      </w:r>
    </w:p>
    <w:p>
      <w:r>
        <w:t xml:space="preserve">(2) Die Regulierungsbehörde kann die Ausgestaltung der Versteigerungsverfahren nach § 13 für Kapazitätsrechte festlegen; diese muss diskriminierungsfrei sein. Die Regulierungsbehörde kann insbesondere die Art und Weise der Bekanntmachung sowie die Zeitpunkte der Versteigerungstermine durch die Fernleitungsnetzbetreiber festlegen; dies umfasst auch die zeitliche Reihenfolge, in der langfristige und kurzfristige Kapazitätsrechte vergeben werden.</w:t>
      </w:r>
    </w:p>
    <w:p>
      <w:r>
        <w:t xml:space="preserve">(3) Die Regulierungsbehörde kann von Amts wegen Festlegungen treffen, mit denen die prozentuale Aufteilung der technischen Jahreskapazität auf unterschiedliche Kapazitätsprodukte festgelegt wird, soweit dies zur Erreichung der Ziele des § 1 des Energiewirtschaftsgesetzes erforderlich ist. Sie muss auf Antrag eines Gasversorgungsunternehmens eine abweichende prozentuale Aufteilung der technischen Jahreskapazität eines Ein- oder Ausspeisepunkts oder einer Ein- oder Ausspeisezone festlegen, soweit das Gasversorgungsunternehmen nachweist, dass dies zur Erfüllung von Mindestabnahmeverpflichtungen aus Lieferverträgen erforderlich ist, die am 1. Oktober 2009 bestanden. Der im Rahmen langfristiger Kapazitätsverträge zu vergebende Anteil der technischen Jahreskapazität eines Ein- oder Ausspeisepunkts oder einer Ein- oder Ausspeisezone darf jedoch 65 Prozent der technischen Jahreskapazität eines Ein- oder Ausspeisepunkts oder einer Ein- oder Ausspeisezone nicht unterschreiten. Bei einer Festlegung von Amts wegen muss die Regulierungsbehörde zuvor die Verbände der Netzbetreiber und die Verbände der Transportkunden anhören.</w:t>
      </w:r>
    </w:p>
    <w:p>
      <w:r>
        <w:t xml:space="preserve">(4) Die Regulierungsbehörde kann zu Standardlastprofilen nach § 24 und deren Anwendung nach Anhörung der Verbände der Netzbetreiber und der Verbände der Transportkunden Festlegungen treffen, insbesondere zur Behandlung der Messeinrichtungen im Sinne des Messstellenbetriebsgesetzes und zur Behandlung der ausgelesenen Messwerte im Rahmen des Netzzugangs sowie zur Erarbeitung von Lastprofilen für bestimmte Verbrauchergruppen. Sie kann für die Erarbeitung von Lastprofilen für bestimmte Verbrauchergruppen terminliche Vorgaben machen. Dabei sind die Erfahrungen der Marktteilnehmer angemessen zu berücksichtigen.</w:t>
      </w:r>
    </w:p>
    <w:p>
      <w:r>
        <w:t xml:space="preserve">(5) (weggefallen)</w:t>
      </w:r>
    </w:p>
    <w:p>
      <w:r>
        <w:t xml:space="preserve">(6) Die Regulierungsbehörde macht Festlegungsentscheidungen in ihrem Amtsblatt öffentlich bekannt und veröffentlicht sie kostenfrei im Internet in druckbarer Form.</w:t>
      </w:r>
    </w:p>
    <w:p>
      <w:r>
        <w:t xml:space="preserve">(7) Anstelle einer Festlegungsentscheidung kann die Regulierungsbehörde in den Fällen des Absatzes 1 Satz 1 Nummer 1 die Netzbetreiber auffordern, ihr innerhalb einer bestimmten, angemessenen Frist ein Standardangebot für Geschäftsbedingungen nach § 4 und für die Ausgestaltung der Kapazitätsprodukte nach § 11 vorzulegen, insbesondere in Bezug auf die Möglichkeit zur nachträglichen Änderung der Nominierung sowie auf standardisierte Bedingungen nach § 23c Absatz 4 Nummer 8 des Energiewirtschaftsgesetzes. Sie kann in dieser Aufforderung Vorgaben für die Ausgestaltung einzelner Bedingungen machen, insbesondere in Bezug auf Diskriminierungsfreiheit und Angemessenheit. Sie gibt den Verbänden der Netzbetreiber und den Verbänden der Transportkunden in geeigneter Form Gelegenheit zur Stellungnahme und kann unter Berücksichtigung der Stellungnahmen durch Festlegung Änderungen der Standardangebote vornehmen, insbesondere soweit einzelne Vorgaben nicht umgesetzt worden sind.</w:t>
      </w:r>
    </w:p>
    <w:p>
      <w:r>
        <w:t xml:space="preserve">(8) Die Regulierungsbehörde kann Netzbetreiber und Marktgebietsverantwortliche verpflichten, innerhalb einer bestimmten, angemessenen Frist ein Standardangebot zu den in Absatz 1 Nummer 9 genannten Teilen des Bilanzierungssystems vorzulegen. Sie kann in dieser Aufforderung Vorgaben für die Ausgestaltung einzelner Bedingungen machen, insbesondere in Bezug auf standardisierte Geschäftsprozesse der Bilanzierung wie für den elektronischen Datenaustausch im Rahmen der Bilanzierung, soweit dies einer effizienten Abwicklung der Bilanzierung dient. Sie gibt den Verbänden der Netzbetreiber und den Verbänden der Transportkunden in geeigneter Form Gelegenheit zur Stellungnahme und kann unter Berücksichtigung der Stellungnahmen durch Festlegung Änderungen der Standardangebote vornehmen, insbesondere soweit einzelne Vorgaben nicht umgesetzt worden sind.</w:t>
      </w:r>
    </w:p>
    <w:p>
      <w:r>
        <w:rPr>
          <w:color w:val="555555"/>
          <w:sz w:val="17"/>
        </w:rPr>
        <w:t xml:space="preserve">Zitiervorschlag: § 50 GasNZV 2010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https://recht.nulegal.eu/gesetze/GasNZV%202010/50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